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0F8F" w14:textId="77777777" w:rsidR="00BC483E" w:rsidRDefault="00673FF1">
      <w:r>
        <w:t>READ ME FILE</w:t>
      </w:r>
    </w:p>
    <w:p w14:paraId="7549D636" w14:textId="29E4BB7C" w:rsidR="00673FF1" w:rsidRDefault="00673FF1" w:rsidP="005742AB">
      <w:r>
        <w:t>Researchers using the SPM Research files will not be able to exactly replicate the estimates in the published Research SPM reports (</w:t>
      </w:r>
      <w:proofErr w:type="spellStart"/>
      <w:r>
        <w:t>e.g</w:t>
      </w:r>
      <w:proofErr w:type="spellEnd"/>
      <w:r>
        <w:t xml:space="preserve"> </w:t>
      </w:r>
      <w:r w:rsidR="00B312FB">
        <w:t xml:space="preserve">P60-254, </w:t>
      </w:r>
      <w:r w:rsidR="00A56E8E">
        <w:t xml:space="preserve">P60-251, </w:t>
      </w:r>
      <w:r>
        <w:t>P60-241, P60-244, P60-247</w:t>
      </w:r>
      <w:r w:rsidR="001E4A20">
        <w:t>, P60-258</w:t>
      </w:r>
      <w:r w:rsidR="00C64088">
        <w:t>, P60-261</w:t>
      </w:r>
      <w:r w:rsidR="00E96C37">
        <w:t xml:space="preserve">, </w:t>
      </w:r>
      <w:proofErr w:type="gramStart"/>
      <w:r w:rsidR="00E96C37">
        <w:t>P60</w:t>
      </w:r>
      <w:proofErr w:type="gramEnd"/>
      <w:r w:rsidR="00E96C37">
        <w:t>-265</w:t>
      </w:r>
      <w:r w:rsidR="001E4A20">
        <w:t xml:space="preserve">). </w:t>
      </w:r>
      <w:r>
        <w:t xml:space="preserve">The SPM Research files are built using the public use version of the CPS ASEC while the reports use the internal CPS ASEC file.  The public </w:t>
      </w:r>
      <w:r w:rsidR="00B47955">
        <w:t>use CPS ASEC file top codes some</w:t>
      </w:r>
      <w:r>
        <w:t xml:space="preserve"> income (and expenditure) items and does not disclose some geographic i</w:t>
      </w:r>
      <w:r w:rsidR="00B47955">
        <w:t>dentifiers. Therefore</w:t>
      </w:r>
      <w:r w:rsidR="00294EC3">
        <w:t>,</w:t>
      </w:r>
      <w:r w:rsidR="00B47955">
        <w:t xml:space="preserve"> a person’s poverty status when estimated using the public use file may not be the same as his/her poverty status using the internal file.  </w:t>
      </w:r>
    </w:p>
    <w:p w14:paraId="2CABB9B9" w14:textId="012CBCE9" w:rsidR="00B47955" w:rsidRDefault="00B47955">
      <w:r>
        <w:t>In order to facilitate the use of the SPM Rese</w:t>
      </w:r>
      <w:r w:rsidR="00B651FF">
        <w:t>arch files, the following table</w:t>
      </w:r>
      <w:r>
        <w:t xml:space="preserve"> shows total poverty counts (weighted and unweighted) using the SPM Research files.</w:t>
      </w:r>
      <w:bookmarkStart w:id="0" w:name="_GoBack"/>
      <w:bookmarkEnd w:id="0"/>
    </w:p>
    <w:tbl>
      <w:tblPr>
        <w:tblStyle w:val="TableGrid"/>
        <w:tblW w:w="5000" w:type="pct"/>
        <w:tblLook w:val="04A0" w:firstRow="1" w:lastRow="0" w:firstColumn="1" w:lastColumn="0" w:noHBand="0" w:noVBand="1"/>
      </w:tblPr>
      <w:tblGrid>
        <w:gridCol w:w="4314"/>
        <w:gridCol w:w="2070"/>
        <w:gridCol w:w="1532"/>
        <w:gridCol w:w="1434"/>
      </w:tblGrid>
      <w:tr w:rsidR="002B267F" w14:paraId="5949E1C5" w14:textId="77777777" w:rsidTr="002B0E5C">
        <w:tc>
          <w:tcPr>
            <w:tcW w:w="2307" w:type="pct"/>
          </w:tcPr>
          <w:p w14:paraId="5300BB75" w14:textId="77777777" w:rsidR="002B267F" w:rsidRDefault="002B267F">
            <w:r>
              <w:t>Research File Year</w:t>
            </w:r>
          </w:p>
        </w:tc>
        <w:tc>
          <w:tcPr>
            <w:tcW w:w="1107" w:type="pct"/>
          </w:tcPr>
          <w:p w14:paraId="34834770" w14:textId="30572382" w:rsidR="002B267F" w:rsidRDefault="00B65807" w:rsidP="00B47955">
            <w:r>
              <w:t>Current</w:t>
            </w:r>
            <w:r w:rsidR="002B267F">
              <w:t xml:space="preserve"> Version Number</w:t>
            </w:r>
            <w:r w:rsidR="002B267F">
              <w:rPr>
                <w:rStyle w:val="EndnoteReference"/>
              </w:rPr>
              <w:endnoteReference w:id="1"/>
            </w:r>
          </w:p>
        </w:tc>
        <w:tc>
          <w:tcPr>
            <w:tcW w:w="819" w:type="pct"/>
          </w:tcPr>
          <w:p w14:paraId="5E245BC2" w14:textId="30BF433D" w:rsidR="002B267F" w:rsidRDefault="002B267F" w:rsidP="00B47955">
            <w:r>
              <w:t>Unweighted</w:t>
            </w:r>
          </w:p>
        </w:tc>
        <w:tc>
          <w:tcPr>
            <w:tcW w:w="767" w:type="pct"/>
          </w:tcPr>
          <w:p w14:paraId="33E0FCAA" w14:textId="77777777" w:rsidR="002B267F" w:rsidRDefault="002B267F">
            <w:r>
              <w:t>Weighted (in thousands)</w:t>
            </w:r>
          </w:p>
        </w:tc>
      </w:tr>
      <w:tr w:rsidR="00E96C37" w14:paraId="6171B4E3" w14:textId="77777777" w:rsidTr="002B0E5C">
        <w:tc>
          <w:tcPr>
            <w:tcW w:w="2307" w:type="pct"/>
          </w:tcPr>
          <w:p w14:paraId="7ED04BB9" w14:textId="7487FB41" w:rsidR="00E96C37" w:rsidRDefault="00E96C37">
            <w:r>
              <w:t>2017</w:t>
            </w:r>
          </w:p>
        </w:tc>
        <w:tc>
          <w:tcPr>
            <w:tcW w:w="1107" w:type="pct"/>
          </w:tcPr>
          <w:p w14:paraId="17F5F185" w14:textId="191F15BE" w:rsidR="00E96C37" w:rsidRDefault="00B33A74" w:rsidP="00B47955">
            <w:r>
              <w:t>20180904</w:t>
            </w:r>
          </w:p>
        </w:tc>
        <w:tc>
          <w:tcPr>
            <w:tcW w:w="819" w:type="pct"/>
          </w:tcPr>
          <w:p w14:paraId="513F31CA" w14:textId="586E9F0D" w:rsidR="00E96C37" w:rsidRDefault="00B33A74" w:rsidP="00B47955">
            <w:r>
              <w:t>24,238</w:t>
            </w:r>
          </w:p>
        </w:tc>
        <w:tc>
          <w:tcPr>
            <w:tcW w:w="767" w:type="pct"/>
          </w:tcPr>
          <w:p w14:paraId="0065EE40" w14:textId="7CAE543F" w:rsidR="00E96C37" w:rsidRDefault="00B33A74">
            <w:r>
              <w:t>44,942</w:t>
            </w:r>
          </w:p>
        </w:tc>
      </w:tr>
      <w:tr w:rsidR="002B267F" w14:paraId="41E99A84" w14:textId="77777777" w:rsidTr="002B0E5C">
        <w:trPr>
          <w:trHeight w:val="20"/>
        </w:trPr>
        <w:tc>
          <w:tcPr>
            <w:tcW w:w="2307" w:type="pct"/>
            <w:vAlign w:val="center"/>
          </w:tcPr>
          <w:p w14:paraId="30AEE3D3" w14:textId="37DEC031" w:rsidR="002B267F" w:rsidRDefault="002B267F" w:rsidP="000A1FA5">
            <w:r>
              <w:t>2016</w:t>
            </w:r>
            <w:r w:rsidR="0057620D">
              <w:rPr>
                <w:rStyle w:val="EndnoteReference"/>
              </w:rPr>
              <w:endnoteReference w:id="2"/>
            </w:r>
          </w:p>
        </w:tc>
        <w:tc>
          <w:tcPr>
            <w:tcW w:w="1107" w:type="pct"/>
          </w:tcPr>
          <w:p w14:paraId="79EA6BA9" w14:textId="713C0C25" w:rsidR="002B267F" w:rsidRDefault="0057620D" w:rsidP="000A1FA5">
            <w:r>
              <w:t>20170915</w:t>
            </w:r>
          </w:p>
        </w:tc>
        <w:tc>
          <w:tcPr>
            <w:tcW w:w="819" w:type="pct"/>
            <w:vAlign w:val="center"/>
          </w:tcPr>
          <w:p w14:paraId="4066E35A" w14:textId="178080ED" w:rsidR="002B267F" w:rsidRPr="004E2039" w:rsidRDefault="0057620D" w:rsidP="000A1FA5">
            <w:r>
              <w:t>25,246</w:t>
            </w:r>
          </w:p>
        </w:tc>
        <w:tc>
          <w:tcPr>
            <w:tcW w:w="767" w:type="pct"/>
            <w:vAlign w:val="center"/>
          </w:tcPr>
          <w:p w14:paraId="462CDB65" w14:textId="65B8BEF4" w:rsidR="002B267F" w:rsidRPr="004E2039" w:rsidRDefault="0057620D" w:rsidP="000A1FA5">
            <w:r>
              <w:t>44,672</w:t>
            </w:r>
          </w:p>
        </w:tc>
      </w:tr>
      <w:tr w:rsidR="002B267F" w14:paraId="1672E651" w14:textId="77777777" w:rsidTr="002B0E5C">
        <w:trPr>
          <w:trHeight w:val="20"/>
        </w:trPr>
        <w:tc>
          <w:tcPr>
            <w:tcW w:w="2307" w:type="pct"/>
            <w:vAlign w:val="center"/>
          </w:tcPr>
          <w:p w14:paraId="02671E82" w14:textId="27BB437B" w:rsidR="002B267F" w:rsidRDefault="002B267F" w:rsidP="000A1FA5">
            <w:r>
              <w:t>2015</w:t>
            </w:r>
            <w:r>
              <w:rPr>
                <w:rStyle w:val="EndnoteReference"/>
              </w:rPr>
              <w:endnoteReference w:id="3"/>
            </w:r>
            <w:r w:rsidRPr="00B50EFB">
              <w:rPr>
                <w:vertAlign w:val="superscript"/>
              </w:rPr>
              <w:t xml:space="preserve">, </w:t>
            </w:r>
            <w:r>
              <w:rPr>
                <w:rStyle w:val="EndnoteReference"/>
              </w:rPr>
              <w:endnoteReference w:id="4"/>
            </w:r>
          </w:p>
        </w:tc>
        <w:tc>
          <w:tcPr>
            <w:tcW w:w="1107" w:type="pct"/>
          </w:tcPr>
          <w:p w14:paraId="47076DFC" w14:textId="395269D7" w:rsidR="002B267F" w:rsidRDefault="008A2B9C" w:rsidP="000A1FA5">
            <w:r>
              <w:t>20170907</w:t>
            </w:r>
          </w:p>
        </w:tc>
        <w:tc>
          <w:tcPr>
            <w:tcW w:w="819" w:type="pct"/>
            <w:vAlign w:val="center"/>
          </w:tcPr>
          <w:p w14:paraId="490A0FD5" w14:textId="31312FE7" w:rsidR="002B267F" w:rsidRPr="004E2039" w:rsidRDefault="002B267F" w:rsidP="000A1FA5">
            <w:r>
              <w:t>26,070</w:t>
            </w:r>
          </w:p>
        </w:tc>
        <w:tc>
          <w:tcPr>
            <w:tcW w:w="767" w:type="pct"/>
            <w:vAlign w:val="center"/>
          </w:tcPr>
          <w:p w14:paraId="220E3779" w14:textId="2C790C8C" w:rsidR="002B267F" w:rsidRPr="004E2039" w:rsidRDefault="002B267F" w:rsidP="000A1FA5">
            <w:r>
              <w:t>46,270</w:t>
            </w:r>
          </w:p>
        </w:tc>
      </w:tr>
      <w:tr w:rsidR="002B267F" w14:paraId="62C2CA10" w14:textId="77777777" w:rsidTr="002B0E5C">
        <w:trPr>
          <w:trHeight w:val="20"/>
        </w:trPr>
        <w:tc>
          <w:tcPr>
            <w:tcW w:w="2307" w:type="pct"/>
            <w:vAlign w:val="center"/>
          </w:tcPr>
          <w:p w14:paraId="50FA5E3B" w14:textId="6F9CD322" w:rsidR="002B267F" w:rsidRDefault="002B267F" w:rsidP="000A1FA5">
            <w:r>
              <w:t>2014</w:t>
            </w:r>
            <w:r w:rsidRPr="00C64088">
              <w:rPr>
                <w:vertAlign w:val="superscript"/>
              </w:rPr>
              <w:t>i</w:t>
            </w:r>
            <w:r w:rsidR="001B3C7B">
              <w:rPr>
                <w:vertAlign w:val="superscript"/>
              </w:rPr>
              <w:t>i</w:t>
            </w:r>
            <w:r w:rsidR="00BC54A1">
              <w:rPr>
                <w:vertAlign w:val="superscript"/>
              </w:rPr>
              <w:t>i</w:t>
            </w:r>
          </w:p>
        </w:tc>
        <w:tc>
          <w:tcPr>
            <w:tcW w:w="1107" w:type="pct"/>
          </w:tcPr>
          <w:p w14:paraId="1350E32F" w14:textId="7535E75F" w:rsidR="002B267F" w:rsidRDefault="00B25B49" w:rsidP="000A1FA5">
            <w:r>
              <w:t>20170907</w:t>
            </w:r>
          </w:p>
        </w:tc>
        <w:tc>
          <w:tcPr>
            <w:tcW w:w="819" w:type="pct"/>
            <w:vAlign w:val="center"/>
          </w:tcPr>
          <w:p w14:paraId="2FFDEF1A" w14:textId="031337D0" w:rsidR="002B267F" w:rsidRDefault="002B267F" w:rsidP="000A1FA5">
            <w:r>
              <w:t>29,657</w:t>
            </w:r>
          </w:p>
        </w:tc>
        <w:tc>
          <w:tcPr>
            <w:tcW w:w="767" w:type="pct"/>
            <w:vAlign w:val="center"/>
          </w:tcPr>
          <w:p w14:paraId="3BCA80FA" w14:textId="0C6B9797" w:rsidR="002B267F" w:rsidRDefault="002B267F" w:rsidP="000A1FA5">
            <w:r>
              <w:t>49,150</w:t>
            </w:r>
          </w:p>
        </w:tc>
      </w:tr>
      <w:tr w:rsidR="002B267F" w14:paraId="1126A66B" w14:textId="77777777" w:rsidTr="002B0E5C">
        <w:trPr>
          <w:trHeight w:val="20"/>
        </w:trPr>
        <w:tc>
          <w:tcPr>
            <w:tcW w:w="2307" w:type="pct"/>
            <w:vAlign w:val="center"/>
          </w:tcPr>
          <w:p w14:paraId="2EC7A813" w14:textId="6E5CB74F" w:rsidR="002B267F" w:rsidRDefault="002B267F" w:rsidP="00B50EFB">
            <w:r>
              <w:t>2013 (Using redesigned income questions)</w:t>
            </w:r>
            <w:r w:rsidR="00317D74" w:rsidRPr="00C64088">
              <w:rPr>
                <w:vertAlign w:val="superscript"/>
              </w:rPr>
              <w:t xml:space="preserve"> i</w:t>
            </w:r>
            <w:r w:rsidR="00317D74">
              <w:rPr>
                <w:vertAlign w:val="superscript"/>
              </w:rPr>
              <w:t>i</w:t>
            </w:r>
            <w:r w:rsidR="00BC54A1">
              <w:rPr>
                <w:vertAlign w:val="superscript"/>
              </w:rPr>
              <w:t>i</w:t>
            </w:r>
            <w:r w:rsidR="00317D74">
              <w:rPr>
                <w:vertAlign w:val="superscript"/>
              </w:rPr>
              <w:t>,</w:t>
            </w:r>
            <w:r w:rsidR="00317D74">
              <w:rPr>
                <w:rStyle w:val="EndnoteReference"/>
              </w:rPr>
              <w:t xml:space="preserve"> </w:t>
            </w:r>
            <w:r>
              <w:rPr>
                <w:rStyle w:val="EndnoteReference"/>
              </w:rPr>
              <w:endnoteReference w:id="5"/>
            </w:r>
          </w:p>
        </w:tc>
        <w:tc>
          <w:tcPr>
            <w:tcW w:w="1107" w:type="pct"/>
          </w:tcPr>
          <w:p w14:paraId="1E4DAE64" w14:textId="5024C07B" w:rsidR="002B267F" w:rsidRDefault="00317D74" w:rsidP="00B50EFB">
            <w:r>
              <w:t>20170914</w:t>
            </w:r>
          </w:p>
        </w:tc>
        <w:tc>
          <w:tcPr>
            <w:tcW w:w="819" w:type="pct"/>
            <w:vAlign w:val="center"/>
          </w:tcPr>
          <w:p w14:paraId="3C87BBDE" w14:textId="1D024962" w:rsidR="002B267F" w:rsidRDefault="00317D74" w:rsidP="00B50EFB">
            <w:r>
              <w:t>8,857</w:t>
            </w:r>
          </w:p>
        </w:tc>
        <w:tc>
          <w:tcPr>
            <w:tcW w:w="767" w:type="pct"/>
            <w:vAlign w:val="center"/>
          </w:tcPr>
          <w:p w14:paraId="3E3EFAC1" w14:textId="028B5EA3" w:rsidR="002B267F" w:rsidRDefault="00317D74" w:rsidP="00B50EFB">
            <w:r>
              <w:t>49,837</w:t>
            </w:r>
          </w:p>
        </w:tc>
      </w:tr>
      <w:tr w:rsidR="002B267F" w14:paraId="1DAA9F34" w14:textId="77777777" w:rsidTr="002B0E5C">
        <w:trPr>
          <w:trHeight w:val="20"/>
        </w:trPr>
        <w:tc>
          <w:tcPr>
            <w:tcW w:w="2307" w:type="pct"/>
            <w:vAlign w:val="center"/>
          </w:tcPr>
          <w:p w14:paraId="65CEC072" w14:textId="13895DE9" w:rsidR="002B267F" w:rsidRDefault="002B267F" w:rsidP="000A1FA5">
            <w:r>
              <w:t>2013 (Using traditional income questions)</w:t>
            </w:r>
            <w:r>
              <w:rPr>
                <w:rStyle w:val="EndnoteReference"/>
              </w:rPr>
              <w:endnoteReference w:id="6"/>
            </w:r>
          </w:p>
        </w:tc>
        <w:tc>
          <w:tcPr>
            <w:tcW w:w="1107" w:type="pct"/>
          </w:tcPr>
          <w:p w14:paraId="0A67F651" w14:textId="3E7445AB" w:rsidR="002B267F" w:rsidRDefault="002B267F" w:rsidP="000A1FA5">
            <w:r>
              <w:t>n/a</w:t>
            </w:r>
          </w:p>
        </w:tc>
        <w:tc>
          <w:tcPr>
            <w:tcW w:w="819" w:type="pct"/>
            <w:vAlign w:val="center"/>
          </w:tcPr>
          <w:p w14:paraId="47B9C030" w14:textId="2527FED5" w:rsidR="002B267F" w:rsidRDefault="002B267F" w:rsidP="000A1FA5">
            <w:r>
              <w:t>21,215</w:t>
            </w:r>
          </w:p>
        </w:tc>
        <w:tc>
          <w:tcPr>
            <w:tcW w:w="767" w:type="pct"/>
            <w:vAlign w:val="center"/>
          </w:tcPr>
          <w:p w14:paraId="3C0EC50F" w14:textId="77777777" w:rsidR="002B267F" w:rsidRDefault="002B267F" w:rsidP="000A1FA5">
            <w:r>
              <w:t>48,731</w:t>
            </w:r>
          </w:p>
        </w:tc>
      </w:tr>
      <w:tr w:rsidR="002B267F" w14:paraId="2A1372E3" w14:textId="77777777" w:rsidTr="002B0E5C">
        <w:trPr>
          <w:trHeight w:val="20"/>
        </w:trPr>
        <w:tc>
          <w:tcPr>
            <w:tcW w:w="2307" w:type="pct"/>
            <w:vAlign w:val="center"/>
          </w:tcPr>
          <w:p w14:paraId="5697455C" w14:textId="77777777" w:rsidR="002B267F" w:rsidRDefault="002B267F" w:rsidP="000A1FA5">
            <w:r>
              <w:t>2012</w:t>
            </w:r>
          </w:p>
        </w:tc>
        <w:tc>
          <w:tcPr>
            <w:tcW w:w="1107" w:type="pct"/>
          </w:tcPr>
          <w:p w14:paraId="19D84C5A" w14:textId="7FA1B232" w:rsidR="002B267F" w:rsidRDefault="002B267F" w:rsidP="000A1FA5">
            <w:r>
              <w:t>n/a</w:t>
            </w:r>
          </w:p>
        </w:tc>
        <w:tc>
          <w:tcPr>
            <w:tcW w:w="819" w:type="pct"/>
            <w:vAlign w:val="center"/>
          </w:tcPr>
          <w:p w14:paraId="044CB29E" w14:textId="51613919" w:rsidR="002B267F" w:rsidRDefault="002B267F" w:rsidP="000A1FA5">
            <w:r>
              <w:t>30,760</w:t>
            </w:r>
          </w:p>
        </w:tc>
        <w:tc>
          <w:tcPr>
            <w:tcW w:w="767" w:type="pct"/>
            <w:vAlign w:val="center"/>
          </w:tcPr>
          <w:p w14:paraId="0D6D02DC" w14:textId="77777777" w:rsidR="002B267F" w:rsidRDefault="002B267F" w:rsidP="000A1FA5">
            <w:r>
              <w:t>49,785</w:t>
            </w:r>
          </w:p>
        </w:tc>
      </w:tr>
      <w:tr w:rsidR="002B267F" w14:paraId="60CD8F64" w14:textId="77777777" w:rsidTr="002B0E5C">
        <w:trPr>
          <w:trHeight w:val="20"/>
        </w:trPr>
        <w:tc>
          <w:tcPr>
            <w:tcW w:w="2307" w:type="pct"/>
            <w:vAlign w:val="center"/>
          </w:tcPr>
          <w:p w14:paraId="472B3473" w14:textId="6B0EAB77" w:rsidR="002B267F" w:rsidRDefault="002B267F" w:rsidP="000A1FA5">
            <w:r>
              <w:t>2011</w:t>
            </w:r>
            <w:r>
              <w:rPr>
                <w:rStyle w:val="EndnoteReference"/>
              </w:rPr>
              <w:endnoteReference w:id="7"/>
            </w:r>
          </w:p>
        </w:tc>
        <w:tc>
          <w:tcPr>
            <w:tcW w:w="1107" w:type="pct"/>
          </w:tcPr>
          <w:p w14:paraId="057E4778" w14:textId="2049BC72" w:rsidR="002B267F" w:rsidRDefault="002B267F" w:rsidP="000A1FA5">
            <w:r>
              <w:t>n/a</w:t>
            </w:r>
          </w:p>
        </w:tc>
        <w:tc>
          <w:tcPr>
            <w:tcW w:w="819" w:type="pct"/>
            <w:vAlign w:val="center"/>
          </w:tcPr>
          <w:p w14:paraId="5F87EC47" w14:textId="19F5CB20" w:rsidR="002B267F" w:rsidRDefault="002B267F" w:rsidP="000A1FA5">
            <w:r>
              <w:t>30,698</w:t>
            </w:r>
          </w:p>
        </w:tc>
        <w:tc>
          <w:tcPr>
            <w:tcW w:w="767" w:type="pct"/>
            <w:vAlign w:val="center"/>
          </w:tcPr>
          <w:p w14:paraId="7C804B16" w14:textId="77777777" w:rsidR="002B267F" w:rsidRDefault="002B267F" w:rsidP="000A1FA5">
            <w:r>
              <w:t>49,675</w:t>
            </w:r>
          </w:p>
        </w:tc>
      </w:tr>
      <w:tr w:rsidR="002B267F" w14:paraId="503EACBB" w14:textId="77777777" w:rsidTr="002B0E5C">
        <w:trPr>
          <w:trHeight w:val="20"/>
        </w:trPr>
        <w:tc>
          <w:tcPr>
            <w:tcW w:w="2307" w:type="pct"/>
            <w:vAlign w:val="center"/>
          </w:tcPr>
          <w:p w14:paraId="18DA046D" w14:textId="75F14A8E" w:rsidR="002B267F" w:rsidRDefault="002B267F" w:rsidP="009A5582">
            <w:r>
              <w:t>2010</w:t>
            </w:r>
            <w:r>
              <w:rPr>
                <w:vertAlign w:val="superscript"/>
              </w:rPr>
              <w:t>v</w:t>
            </w:r>
            <w:r w:rsidR="001B3C7B">
              <w:rPr>
                <w:vertAlign w:val="superscript"/>
              </w:rPr>
              <w:t>i</w:t>
            </w:r>
            <w:r w:rsidR="00BC54A1">
              <w:rPr>
                <w:vertAlign w:val="superscript"/>
              </w:rPr>
              <w:t>i</w:t>
            </w:r>
          </w:p>
        </w:tc>
        <w:tc>
          <w:tcPr>
            <w:tcW w:w="1107" w:type="pct"/>
          </w:tcPr>
          <w:p w14:paraId="099435A0" w14:textId="767708B3" w:rsidR="002B267F" w:rsidRDefault="002B267F" w:rsidP="000A1FA5">
            <w:r>
              <w:t>n/a</w:t>
            </w:r>
          </w:p>
        </w:tc>
        <w:tc>
          <w:tcPr>
            <w:tcW w:w="819" w:type="pct"/>
            <w:vAlign w:val="center"/>
          </w:tcPr>
          <w:p w14:paraId="7EE88BAF" w14:textId="58888CF3" w:rsidR="002B267F" w:rsidRDefault="002B267F" w:rsidP="000A1FA5">
            <w:r>
              <w:t>30,743</w:t>
            </w:r>
          </w:p>
        </w:tc>
        <w:tc>
          <w:tcPr>
            <w:tcW w:w="767" w:type="pct"/>
            <w:vAlign w:val="center"/>
          </w:tcPr>
          <w:p w14:paraId="3A43A5DC" w14:textId="77777777" w:rsidR="002B267F" w:rsidRDefault="002B267F" w:rsidP="000A1FA5">
            <w:r>
              <w:t>48,934</w:t>
            </w:r>
          </w:p>
        </w:tc>
      </w:tr>
      <w:tr w:rsidR="002B267F" w14:paraId="31F5C05F" w14:textId="77777777" w:rsidTr="002B0E5C">
        <w:trPr>
          <w:trHeight w:val="20"/>
        </w:trPr>
        <w:tc>
          <w:tcPr>
            <w:tcW w:w="2307" w:type="pct"/>
            <w:vAlign w:val="center"/>
          </w:tcPr>
          <w:p w14:paraId="7C96A109" w14:textId="44C62957" w:rsidR="002B267F" w:rsidRDefault="002B267F" w:rsidP="000A1FA5">
            <w:r>
              <w:t>2009</w:t>
            </w:r>
            <w:r>
              <w:rPr>
                <w:vertAlign w:val="superscript"/>
              </w:rPr>
              <w:t>v</w:t>
            </w:r>
            <w:r w:rsidR="001B3C7B">
              <w:rPr>
                <w:vertAlign w:val="superscript"/>
              </w:rPr>
              <w:t>i</w:t>
            </w:r>
            <w:r w:rsidR="00BC54A1">
              <w:rPr>
                <w:vertAlign w:val="superscript"/>
              </w:rPr>
              <w:t>i</w:t>
            </w:r>
          </w:p>
        </w:tc>
        <w:tc>
          <w:tcPr>
            <w:tcW w:w="1107" w:type="pct"/>
          </w:tcPr>
          <w:p w14:paraId="642AA10C" w14:textId="28188669" w:rsidR="002B267F" w:rsidRDefault="002B267F" w:rsidP="000A1FA5">
            <w:r>
              <w:t>n/a</w:t>
            </w:r>
          </w:p>
        </w:tc>
        <w:tc>
          <w:tcPr>
            <w:tcW w:w="819" w:type="pct"/>
            <w:vAlign w:val="center"/>
          </w:tcPr>
          <w:p w14:paraId="39ACCFE1" w14:textId="15D9EB75" w:rsidR="002B267F" w:rsidRDefault="002B267F" w:rsidP="000A1FA5">
            <w:r>
              <w:t>30,217</w:t>
            </w:r>
          </w:p>
        </w:tc>
        <w:tc>
          <w:tcPr>
            <w:tcW w:w="767" w:type="pct"/>
            <w:vAlign w:val="center"/>
          </w:tcPr>
          <w:p w14:paraId="35AFBD16" w14:textId="77777777" w:rsidR="002B267F" w:rsidRDefault="002B267F" w:rsidP="000A1FA5">
            <w:r>
              <w:t>46,145</w:t>
            </w:r>
          </w:p>
        </w:tc>
      </w:tr>
    </w:tbl>
    <w:p w14:paraId="318B3504" w14:textId="3A97A395" w:rsidR="00B47955" w:rsidRDefault="00B47955">
      <w:r>
        <w:t xml:space="preserve">  </w:t>
      </w:r>
    </w:p>
    <w:sectPr w:rsidR="00B47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1442" w14:textId="77777777" w:rsidR="00BC54A1" w:rsidRDefault="00BC54A1" w:rsidP="009A5582">
      <w:pPr>
        <w:spacing w:after="0" w:line="240" w:lineRule="auto"/>
      </w:pPr>
      <w:r>
        <w:separator/>
      </w:r>
    </w:p>
  </w:endnote>
  <w:endnote w:type="continuationSeparator" w:id="0">
    <w:p w14:paraId="672A72BA" w14:textId="77777777" w:rsidR="00BC54A1" w:rsidRDefault="00BC54A1" w:rsidP="009A5582">
      <w:pPr>
        <w:spacing w:after="0" w:line="240" w:lineRule="auto"/>
      </w:pPr>
      <w:r>
        <w:continuationSeparator/>
      </w:r>
    </w:p>
  </w:endnote>
  <w:endnote w:id="1">
    <w:p w14:paraId="3F6C940D" w14:textId="2DEB7CD3" w:rsidR="00BC54A1" w:rsidRDefault="00BC54A1" w:rsidP="001B3C7B">
      <w:pPr>
        <w:pStyle w:val="EndnoteText"/>
        <w:spacing w:after="240"/>
      </w:pPr>
      <w:r>
        <w:rPr>
          <w:rStyle w:val="EndnoteReference"/>
        </w:rPr>
        <w:endnoteRef/>
      </w:r>
      <w:r>
        <w:t xml:space="preserve"> </w:t>
      </w:r>
      <w:r w:rsidRPr="001B3C7B">
        <w:rPr>
          <w:sz w:val="22"/>
          <w:szCs w:val="22"/>
        </w:rPr>
        <w:t>All files created after January 18, 2017 are assigned version numbers in YYYYMMDD format. Files created prior to this date do not have a version number.</w:t>
      </w:r>
    </w:p>
  </w:endnote>
  <w:endnote w:id="2">
    <w:p w14:paraId="777FE533" w14:textId="575A9BE1" w:rsidR="00BC54A1" w:rsidRDefault="00BC54A1" w:rsidP="0057620D">
      <w:pPr>
        <w:pStyle w:val="EndnoteText"/>
        <w:rPr>
          <w:sz w:val="22"/>
          <w:szCs w:val="22"/>
        </w:rPr>
      </w:pPr>
      <w:r>
        <w:rPr>
          <w:rStyle w:val="EndnoteReference"/>
        </w:rPr>
        <w:endnoteRef/>
      </w:r>
      <w:r>
        <w:t xml:space="preserve"> </w:t>
      </w:r>
      <w:r w:rsidR="00076B81">
        <w:rPr>
          <w:sz w:val="22"/>
          <w:szCs w:val="22"/>
        </w:rPr>
        <w:t>On September 18</w:t>
      </w:r>
      <w:r w:rsidRPr="00FF1779">
        <w:rPr>
          <w:sz w:val="22"/>
          <w:szCs w:val="22"/>
        </w:rPr>
        <w:t>, 2017 the 2016 SPM Research File was updated with a corrected threshold for rente</w:t>
      </w:r>
      <w:r w:rsidR="00517442">
        <w:rPr>
          <w:sz w:val="22"/>
          <w:szCs w:val="22"/>
        </w:rPr>
        <w:t xml:space="preserve">rs. The correction changes </w:t>
      </w:r>
      <w:proofErr w:type="spellStart"/>
      <w:r w:rsidR="00517442">
        <w:rPr>
          <w:sz w:val="22"/>
          <w:szCs w:val="22"/>
        </w:rPr>
        <w:t>SPMu_Poor</w:t>
      </w:r>
      <w:proofErr w:type="spellEnd"/>
      <w:r w:rsidR="00517442">
        <w:rPr>
          <w:sz w:val="22"/>
          <w:szCs w:val="22"/>
        </w:rPr>
        <w:t xml:space="preserve"> status for 109 unweighted observations and affects five</w:t>
      </w:r>
      <w:r w:rsidRPr="00FF1779">
        <w:rPr>
          <w:sz w:val="22"/>
          <w:szCs w:val="22"/>
        </w:rPr>
        <w:t xml:space="preserve"> variables on the SPM Research File (</w:t>
      </w:r>
      <w:proofErr w:type="spellStart"/>
      <w:r w:rsidRPr="00FF1779">
        <w:rPr>
          <w:sz w:val="22"/>
          <w:szCs w:val="22"/>
        </w:rPr>
        <w:t>BLSRe</w:t>
      </w:r>
      <w:r w:rsidR="00517442">
        <w:rPr>
          <w:sz w:val="22"/>
          <w:szCs w:val="22"/>
        </w:rPr>
        <w:t>searchThreshRenters</w:t>
      </w:r>
      <w:proofErr w:type="spellEnd"/>
      <w:r w:rsidR="00517442">
        <w:rPr>
          <w:sz w:val="22"/>
          <w:szCs w:val="22"/>
        </w:rPr>
        <w:t xml:space="preserve">, </w:t>
      </w:r>
      <w:proofErr w:type="spellStart"/>
      <w:r w:rsidR="00517442">
        <w:rPr>
          <w:sz w:val="22"/>
          <w:szCs w:val="22"/>
        </w:rPr>
        <w:t>SPMu_Poor</w:t>
      </w:r>
      <w:proofErr w:type="spellEnd"/>
      <w:r w:rsidR="00517442">
        <w:rPr>
          <w:sz w:val="22"/>
          <w:szCs w:val="22"/>
        </w:rPr>
        <w:t xml:space="preserve">, </w:t>
      </w:r>
      <w:proofErr w:type="spellStart"/>
      <w:r w:rsidRPr="00FF1779">
        <w:rPr>
          <w:sz w:val="22"/>
          <w:szCs w:val="22"/>
        </w:rPr>
        <w:t>SPMu_PovThreshold</w:t>
      </w:r>
      <w:proofErr w:type="spellEnd"/>
      <w:r w:rsidR="00517442">
        <w:rPr>
          <w:sz w:val="22"/>
          <w:szCs w:val="22"/>
        </w:rPr>
        <w:t xml:space="preserve">, </w:t>
      </w:r>
      <w:proofErr w:type="spellStart"/>
      <w:r w:rsidR="00517442">
        <w:rPr>
          <w:sz w:val="22"/>
          <w:szCs w:val="22"/>
        </w:rPr>
        <w:t>SPMu_Resources</w:t>
      </w:r>
      <w:proofErr w:type="spellEnd"/>
      <w:r w:rsidR="00517442">
        <w:rPr>
          <w:sz w:val="22"/>
          <w:szCs w:val="22"/>
        </w:rPr>
        <w:t xml:space="preserve"> and </w:t>
      </w:r>
      <w:proofErr w:type="spellStart"/>
      <w:r w:rsidR="00517442">
        <w:rPr>
          <w:sz w:val="22"/>
          <w:szCs w:val="22"/>
        </w:rPr>
        <w:t>SPMu_CapHouseSub</w:t>
      </w:r>
      <w:proofErr w:type="spellEnd"/>
      <w:r w:rsidRPr="00FF1779">
        <w:rPr>
          <w:sz w:val="22"/>
          <w:szCs w:val="22"/>
        </w:rPr>
        <w:t>)</w:t>
      </w:r>
      <w:r w:rsidR="00517442">
        <w:rPr>
          <w:sz w:val="22"/>
          <w:szCs w:val="22"/>
        </w:rPr>
        <w:t>.</w:t>
      </w:r>
    </w:p>
    <w:p w14:paraId="62B841B0" w14:textId="77777777" w:rsidR="00BC54A1" w:rsidRPr="0057620D" w:rsidRDefault="00BC54A1" w:rsidP="0057620D">
      <w:pPr>
        <w:pStyle w:val="EndnoteText"/>
        <w:rPr>
          <w:b/>
        </w:rPr>
      </w:pPr>
    </w:p>
  </w:endnote>
  <w:endnote w:id="3">
    <w:p w14:paraId="0C501A60" w14:textId="716A1A89" w:rsidR="00BC54A1" w:rsidRDefault="00BC54A1" w:rsidP="00C64088">
      <w:pPr>
        <w:pStyle w:val="EndnoteText"/>
        <w:spacing w:after="240"/>
      </w:pPr>
      <w:r>
        <w:rPr>
          <w:rStyle w:val="EndnoteReference"/>
        </w:rPr>
        <w:endnoteRef/>
      </w:r>
      <w:r>
        <w:t xml:space="preserve"> </w:t>
      </w:r>
      <w:r w:rsidRPr="002B267F">
        <w:rPr>
          <w:sz w:val="22"/>
          <w:szCs w:val="22"/>
        </w:rPr>
        <w:t xml:space="preserve">In September 2017, the </w:t>
      </w:r>
      <w:r>
        <w:rPr>
          <w:sz w:val="22"/>
          <w:szCs w:val="22"/>
        </w:rPr>
        <w:t xml:space="preserve">2013 (redesigned sample), </w:t>
      </w:r>
      <w:r w:rsidRPr="002B267F">
        <w:rPr>
          <w:sz w:val="22"/>
          <w:szCs w:val="22"/>
        </w:rPr>
        <w:t>201</w:t>
      </w:r>
      <w:r>
        <w:rPr>
          <w:sz w:val="22"/>
          <w:szCs w:val="22"/>
        </w:rPr>
        <w:t>4 and 2015 SPM Research Files were</w:t>
      </w:r>
      <w:r w:rsidRPr="002B267F">
        <w:rPr>
          <w:sz w:val="22"/>
          <w:szCs w:val="22"/>
        </w:rPr>
        <w:t xml:space="preserve"> updated to reflect changes made in the 2016 file, see details in the</w:t>
      </w:r>
      <w:r w:rsidRPr="00C64088">
        <w:rPr>
          <w:sz w:val="22"/>
          <w:szCs w:val="22"/>
        </w:rPr>
        <w:t xml:space="preserve"> appendix of “The Supplemental Poverty Measure: 2016,” P60-261, &lt;www.census.gov/content/dam/Census/library/publications/2017/demo/p60-261.pdf&gt;</w:t>
      </w:r>
      <w:r>
        <w:rPr>
          <w:sz w:val="22"/>
          <w:szCs w:val="22"/>
        </w:rPr>
        <w:t>. Data files for old SPM reports can be found in the data archive at: &lt;</w:t>
      </w:r>
      <w:r w:rsidRPr="001B3C7B">
        <w:rPr>
          <w:sz w:val="22"/>
          <w:szCs w:val="22"/>
        </w:rPr>
        <w:t>www2.census.gov/programs-surveys/supplemental-poverty-measure/datasets/spm/</w:t>
      </w:r>
      <w:r>
        <w:rPr>
          <w:sz w:val="22"/>
          <w:szCs w:val="22"/>
        </w:rPr>
        <w:t>&gt;</w:t>
      </w:r>
    </w:p>
  </w:endnote>
  <w:endnote w:id="4">
    <w:p w14:paraId="4A7B0C57" w14:textId="428E6BB1" w:rsidR="00BC54A1" w:rsidRPr="009A5582" w:rsidRDefault="00BC54A1" w:rsidP="00317D74">
      <w:pPr>
        <w:spacing w:after="240"/>
      </w:pPr>
      <w:r>
        <w:rPr>
          <w:rStyle w:val="EndnoteReference"/>
        </w:rPr>
        <w:endnoteRef/>
      </w:r>
      <w:r>
        <w:t xml:space="preserve"> </w:t>
      </w:r>
      <w:r w:rsidRPr="009A5582">
        <w:t>In January 2017, the 2015 SPM Research File was replaced with a file that includes corrected tax variables. The 2015 tax model (2016 ASEC) required a correction to the determination of eligibility for the earned income tax credit among tax units without any children in the unit. This modification to the model affects six tax-related variables on the 2016 ASEC public use file and five tax-related variables on the SPM Research File (</w:t>
      </w:r>
      <w:proofErr w:type="spellStart"/>
      <w:r w:rsidRPr="009A5582">
        <w:t>SPMu_FedTax</w:t>
      </w:r>
      <w:proofErr w:type="spellEnd"/>
      <w:r w:rsidRPr="009A5582">
        <w:t xml:space="preserve"> </w:t>
      </w:r>
      <w:proofErr w:type="spellStart"/>
      <w:r w:rsidRPr="009A5582">
        <w:t>SPMu_FedTaxBC</w:t>
      </w:r>
      <w:proofErr w:type="spellEnd"/>
      <w:r w:rsidRPr="009A5582">
        <w:t xml:space="preserve">, </w:t>
      </w:r>
      <w:proofErr w:type="spellStart"/>
      <w:r w:rsidRPr="009A5582">
        <w:t>SPMu_EITC</w:t>
      </w:r>
      <w:proofErr w:type="spellEnd"/>
      <w:r w:rsidRPr="009A5582">
        <w:t xml:space="preserve">, </w:t>
      </w:r>
      <w:proofErr w:type="spellStart"/>
      <w:r w:rsidRPr="009A5582">
        <w:t>SPMu_stTax</w:t>
      </w:r>
      <w:proofErr w:type="spellEnd"/>
      <w:r w:rsidRPr="009A5582">
        <w:t xml:space="preserve">), as well as the aggregate variables </w:t>
      </w:r>
      <w:proofErr w:type="spellStart"/>
      <w:r w:rsidRPr="009A5582">
        <w:t>SPMu_Resources</w:t>
      </w:r>
      <w:proofErr w:type="spellEnd"/>
      <w:r w:rsidRPr="009A5582">
        <w:t xml:space="preserve"> and </w:t>
      </w:r>
      <w:proofErr w:type="spellStart"/>
      <w:r w:rsidRPr="009A5582">
        <w:t>SPMu_Poor</w:t>
      </w:r>
      <w:proofErr w:type="spellEnd"/>
      <w:r w:rsidRPr="009A5582">
        <w:t>. Without this modification, 3,512 tax units in the file were given an erroneous earned income tax credit. Of the 3,512 erroneous units, 2,922 tax units were erroneously determined to be eligible for the credit when they should not have been eligible, and 590 tax units were erroneously determined to be ineligible for the credit when they should have been eligible.</w:t>
      </w:r>
      <w:r w:rsidRPr="00317D74">
        <w:t xml:space="preserve"> </w:t>
      </w:r>
      <w:r>
        <w:t>As of September 2017, the January 2017 file has been moved to the archive.</w:t>
      </w:r>
    </w:p>
  </w:endnote>
  <w:endnote w:id="5">
    <w:p w14:paraId="12CB045B" w14:textId="0E2C1F32" w:rsidR="00BC54A1" w:rsidRPr="009A5582" w:rsidRDefault="00BC54A1" w:rsidP="00B50EFB">
      <w:pPr>
        <w:spacing w:after="240"/>
      </w:pPr>
      <w:r w:rsidRPr="009A5582">
        <w:rPr>
          <w:rStyle w:val="EndnoteReference"/>
        </w:rPr>
        <w:endnoteRef/>
      </w:r>
      <w:r w:rsidRPr="009A5582">
        <w:t xml:space="preserve"> The file using the redesigned questions replaces the file that was posted in January 2015 and removed in March 2015.  This file has the corrected tax variable and revised estimates for medical out-of-pocket (MOOP) expenditures.  The previous version of the file with the redesigned income questions (posted in January 2015 and removed in March 2015) had incorrect values for MOOP and STATETAX_A, STATETAX_B, and TAX_INC for some records.</w:t>
      </w:r>
      <w:r>
        <w:t xml:space="preserve"> As of September 2017, the March 2015 file has been moved to the archive.</w:t>
      </w:r>
    </w:p>
  </w:endnote>
  <w:endnote w:id="6">
    <w:p w14:paraId="17E46D0B" w14:textId="12EEBE0E" w:rsidR="00BC54A1" w:rsidRPr="009A5582" w:rsidRDefault="00BC54A1" w:rsidP="00436E74">
      <w:pPr>
        <w:pStyle w:val="EndnoteText"/>
        <w:spacing w:after="240"/>
        <w:rPr>
          <w:sz w:val="22"/>
          <w:szCs w:val="22"/>
        </w:rPr>
      </w:pPr>
      <w:r w:rsidRPr="009A5582">
        <w:rPr>
          <w:rStyle w:val="EndnoteReference"/>
          <w:sz w:val="22"/>
          <w:szCs w:val="22"/>
        </w:rPr>
        <w:endnoteRef/>
      </w:r>
      <w:r w:rsidRPr="009A5582">
        <w:rPr>
          <w:sz w:val="22"/>
          <w:szCs w:val="22"/>
        </w:rPr>
        <w:t xml:space="preserve"> In April 2015, the 2013 Research File using the traditional income questions was replaced with a file that includes corrected tax variables.  The 2013 tax model (2014 ASEC) required a modification to accommodate an additional tax bracket.  This modification to the model affects five tax-related variables on the 2014 ASEC public use file. Without this modification, 302 tax units in the file (about 0.6% of all tax units from the model) are erroneously assigned zero federal taxes before and after credits, along with a small number (8 or less tax units) having erroneous values in STATETAX_A, STATETAX_B, and TAX_INC.</w:t>
      </w:r>
    </w:p>
  </w:endnote>
  <w:endnote w:id="7">
    <w:p w14:paraId="2CD4F1E3" w14:textId="48A6BCC9" w:rsidR="00BC54A1" w:rsidRPr="009A5582" w:rsidRDefault="00BC54A1" w:rsidP="00436E74">
      <w:pPr>
        <w:pStyle w:val="EndnoteText"/>
        <w:spacing w:after="240"/>
        <w:rPr>
          <w:sz w:val="22"/>
          <w:szCs w:val="22"/>
        </w:rPr>
      </w:pPr>
      <w:r w:rsidRPr="009A5582">
        <w:rPr>
          <w:rStyle w:val="EndnoteReference"/>
          <w:sz w:val="22"/>
          <w:szCs w:val="22"/>
        </w:rPr>
        <w:endnoteRef/>
      </w:r>
      <w:r w:rsidRPr="009A5582">
        <w:rPr>
          <w:sz w:val="22"/>
          <w:szCs w:val="22"/>
        </w:rPr>
        <w:t xml:space="preserve"> Note:  These estimates use the WIC extracts to recalculate poverty using the revised values for WIC benefits found on these extract files.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1CA6" w14:textId="77777777" w:rsidR="00BC54A1" w:rsidRDefault="00BC54A1" w:rsidP="009A5582">
      <w:pPr>
        <w:spacing w:after="0" w:line="240" w:lineRule="auto"/>
      </w:pPr>
      <w:r>
        <w:separator/>
      </w:r>
    </w:p>
  </w:footnote>
  <w:footnote w:type="continuationSeparator" w:id="0">
    <w:p w14:paraId="324DCFAB" w14:textId="77777777" w:rsidR="00BC54A1" w:rsidRDefault="00BC54A1" w:rsidP="009A5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965c740-6971-40b1-972a-c46e09efeeed"/>
  </w:docVars>
  <w:rsids>
    <w:rsidRoot w:val="00673FF1"/>
    <w:rsid w:val="0000057F"/>
    <w:rsid w:val="00076B81"/>
    <w:rsid w:val="00096065"/>
    <w:rsid w:val="000A1FA5"/>
    <w:rsid w:val="0018548E"/>
    <w:rsid w:val="001B3C7B"/>
    <w:rsid w:val="001E4A20"/>
    <w:rsid w:val="00294EC3"/>
    <w:rsid w:val="002A3338"/>
    <w:rsid w:val="002B0E5C"/>
    <w:rsid w:val="002B267F"/>
    <w:rsid w:val="002C0DDB"/>
    <w:rsid w:val="00317D74"/>
    <w:rsid w:val="003346E8"/>
    <w:rsid w:val="00364482"/>
    <w:rsid w:val="004362FB"/>
    <w:rsid w:val="00436E74"/>
    <w:rsid w:val="004953A9"/>
    <w:rsid w:val="00496942"/>
    <w:rsid w:val="004E2039"/>
    <w:rsid w:val="00505273"/>
    <w:rsid w:val="00517442"/>
    <w:rsid w:val="005742AB"/>
    <w:rsid w:val="0057620D"/>
    <w:rsid w:val="00621371"/>
    <w:rsid w:val="006233FC"/>
    <w:rsid w:val="00653528"/>
    <w:rsid w:val="00673FF1"/>
    <w:rsid w:val="00681EE4"/>
    <w:rsid w:val="006E0EBE"/>
    <w:rsid w:val="006E3DE2"/>
    <w:rsid w:val="006E41CF"/>
    <w:rsid w:val="006F1A18"/>
    <w:rsid w:val="0070727F"/>
    <w:rsid w:val="00736AF5"/>
    <w:rsid w:val="007701F2"/>
    <w:rsid w:val="007E5B9C"/>
    <w:rsid w:val="008236FA"/>
    <w:rsid w:val="008361E8"/>
    <w:rsid w:val="00840A93"/>
    <w:rsid w:val="00860A6B"/>
    <w:rsid w:val="008A2B9C"/>
    <w:rsid w:val="008B2AC5"/>
    <w:rsid w:val="008B5406"/>
    <w:rsid w:val="009147F5"/>
    <w:rsid w:val="0099293A"/>
    <w:rsid w:val="009A5582"/>
    <w:rsid w:val="00A56E8E"/>
    <w:rsid w:val="00A770B0"/>
    <w:rsid w:val="00A92493"/>
    <w:rsid w:val="00AB2BEB"/>
    <w:rsid w:val="00B25B49"/>
    <w:rsid w:val="00B312FB"/>
    <w:rsid w:val="00B33A74"/>
    <w:rsid w:val="00B47955"/>
    <w:rsid w:val="00B50EFB"/>
    <w:rsid w:val="00B651FF"/>
    <w:rsid w:val="00B65807"/>
    <w:rsid w:val="00B74BE6"/>
    <w:rsid w:val="00BC483E"/>
    <w:rsid w:val="00BC54A1"/>
    <w:rsid w:val="00BD1207"/>
    <w:rsid w:val="00BF5060"/>
    <w:rsid w:val="00C10B8B"/>
    <w:rsid w:val="00C2059A"/>
    <w:rsid w:val="00C64088"/>
    <w:rsid w:val="00D25673"/>
    <w:rsid w:val="00D3681B"/>
    <w:rsid w:val="00D446A0"/>
    <w:rsid w:val="00DB741C"/>
    <w:rsid w:val="00E60D9B"/>
    <w:rsid w:val="00E9093A"/>
    <w:rsid w:val="00E96C37"/>
    <w:rsid w:val="00F71609"/>
    <w:rsid w:val="00F92455"/>
    <w:rsid w:val="00FE0D9F"/>
    <w:rsid w:val="00FE332C"/>
    <w:rsid w:val="00FF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95AB"/>
  <w15:docId w15:val="{24AEBDFD-85E1-4925-886E-DA5C9B39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0D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2039"/>
    <w:rPr>
      <w:sz w:val="16"/>
      <w:szCs w:val="16"/>
    </w:rPr>
  </w:style>
  <w:style w:type="paragraph" w:styleId="CommentText">
    <w:name w:val="annotation text"/>
    <w:basedOn w:val="Normal"/>
    <w:link w:val="CommentTextChar"/>
    <w:uiPriority w:val="99"/>
    <w:semiHidden/>
    <w:unhideWhenUsed/>
    <w:rsid w:val="004E2039"/>
    <w:pPr>
      <w:spacing w:line="240" w:lineRule="auto"/>
    </w:pPr>
    <w:rPr>
      <w:sz w:val="20"/>
      <w:szCs w:val="20"/>
    </w:rPr>
  </w:style>
  <w:style w:type="character" w:customStyle="1" w:styleId="CommentTextChar">
    <w:name w:val="Comment Text Char"/>
    <w:basedOn w:val="DefaultParagraphFont"/>
    <w:link w:val="CommentText"/>
    <w:uiPriority w:val="99"/>
    <w:semiHidden/>
    <w:rsid w:val="004E2039"/>
    <w:rPr>
      <w:sz w:val="20"/>
      <w:szCs w:val="20"/>
    </w:rPr>
  </w:style>
  <w:style w:type="paragraph" w:styleId="CommentSubject">
    <w:name w:val="annotation subject"/>
    <w:basedOn w:val="CommentText"/>
    <w:next w:val="CommentText"/>
    <w:link w:val="CommentSubjectChar"/>
    <w:uiPriority w:val="99"/>
    <w:semiHidden/>
    <w:unhideWhenUsed/>
    <w:rsid w:val="004E2039"/>
    <w:rPr>
      <w:b/>
      <w:bCs/>
    </w:rPr>
  </w:style>
  <w:style w:type="character" w:customStyle="1" w:styleId="CommentSubjectChar">
    <w:name w:val="Comment Subject Char"/>
    <w:basedOn w:val="CommentTextChar"/>
    <w:link w:val="CommentSubject"/>
    <w:uiPriority w:val="99"/>
    <w:semiHidden/>
    <w:rsid w:val="004E2039"/>
    <w:rPr>
      <w:b/>
      <w:bCs/>
      <w:sz w:val="20"/>
      <w:szCs w:val="20"/>
    </w:rPr>
  </w:style>
  <w:style w:type="paragraph" w:styleId="BalloonText">
    <w:name w:val="Balloon Text"/>
    <w:basedOn w:val="Normal"/>
    <w:link w:val="BalloonTextChar"/>
    <w:uiPriority w:val="99"/>
    <w:semiHidden/>
    <w:unhideWhenUsed/>
    <w:rsid w:val="004E2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39"/>
    <w:rPr>
      <w:rFonts w:ascii="Segoe UI" w:hAnsi="Segoe UI" w:cs="Segoe UI"/>
      <w:sz w:val="18"/>
      <w:szCs w:val="18"/>
    </w:rPr>
  </w:style>
  <w:style w:type="paragraph" w:styleId="FootnoteText">
    <w:name w:val="footnote text"/>
    <w:basedOn w:val="Normal"/>
    <w:link w:val="FootnoteTextChar"/>
    <w:uiPriority w:val="99"/>
    <w:semiHidden/>
    <w:unhideWhenUsed/>
    <w:rsid w:val="009A5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582"/>
    <w:rPr>
      <w:sz w:val="20"/>
      <w:szCs w:val="20"/>
    </w:rPr>
  </w:style>
  <w:style w:type="character" w:styleId="FootnoteReference">
    <w:name w:val="footnote reference"/>
    <w:basedOn w:val="DefaultParagraphFont"/>
    <w:uiPriority w:val="99"/>
    <w:semiHidden/>
    <w:unhideWhenUsed/>
    <w:rsid w:val="009A5582"/>
    <w:rPr>
      <w:vertAlign w:val="superscript"/>
    </w:rPr>
  </w:style>
  <w:style w:type="paragraph" w:styleId="EndnoteText">
    <w:name w:val="endnote text"/>
    <w:basedOn w:val="Normal"/>
    <w:link w:val="EndnoteTextChar"/>
    <w:uiPriority w:val="99"/>
    <w:unhideWhenUsed/>
    <w:rsid w:val="009A5582"/>
    <w:pPr>
      <w:spacing w:after="0" w:line="240" w:lineRule="auto"/>
    </w:pPr>
    <w:rPr>
      <w:sz w:val="20"/>
      <w:szCs w:val="20"/>
    </w:rPr>
  </w:style>
  <w:style w:type="character" w:customStyle="1" w:styleId="EndnoteTextChar">
    <w:name w:val="Endnote Text Char"/>
    <w:basedOn w:val="DefaultParagraphFont"/>
    <w:link w:val="EndnoteText"/>
    <w:uiPriority w:val="99"/>
    <w:rsid w:val="009A5582"/>
    <w:rPr>
      <w:sz w:val="20"/>
      <w:szCs w:val="20"/>
    </w:rPr>
  </w:style>
  <w:style w:type="character" w:styleId="EndnoteReference">
    <w:name w:val="endnote reference"/>
    <w:basedOn w:val="DefaultParagraphFont"/>
    <w:uiPriority w:val="99"/>
    <w:semiHidden/>
    <w:unhideWhenUsed/>
    <w:rsid w:val="009A5582"/>
    <w:rPr>
      <w:vertAlign w:val="superscript"/>
    </w:rPr>
  </w:style>
  <w:style w:type="character" w:styleId="Hyperlink">
    <w:name w:val="Hyperlink"/>
    <w:basedOn w:val="DefaultParagraphFont"/>
    <w:uiPriority w:val="99"/>
    <w:unhideWhenUsed/>
    <w:rsid w:val="001B3C7B"/>
    <w:rPr>
      <w:color w:val="0000FF" w:themeColor="hyperlink"/>
      <w:u w:val="single"/>
    </w:rPr>
  </w:style>
  <w:style w:type="paragraph" w:styleId="HTMLPreformatted">
    <w:name w:val="HTML Preformatted"/>
    <w:basedOn w:val="Normal"/>
    <w:link w:val="HTMLPreformattedChar"/>
    <w:uiPriority w:val="99"/>
    <w:semiHidden/>
    <w:unhideWhenUsed/>
    <w:rsid w:val="005762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620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99132">
      <w:bodyDiv w:val="1"/>
      <w:marLeft w:val="0"/>
      <w:marRight w:val="0"/>
      <w:marTop w:val="0"/>
      <w:marBottom w:val="0"/>
      <w:divBdr>
        <w:top w:val="none" w:sz="0" w:space="0" w:color="auto"/>
        <w:left w:val="none" w:sz="0" w:space="0" w:color="auto"/>
        <w:bottom w:val="none" w:sz="0" w:space="0" w:color="auto"/>
        <w:right w:val="none" w:sz="0" w:space="0" w:color="auto"/>
      </w:divBdr>
    </w:div>
    <w:div w:id="1802725067">
      <w:bodyDiv w:val="1"/>
      <w:marLeft w:val="0"/>
      <w:marRight w:val="0"/>
      <w:marTop w:val="0"/>
      <w:marBottom w:val="0"/>
      <w:divBdr>
        <w:top w:val="none" w:sz="0" w:space="0" w:color="auto"/>
        <w:left w:val="none" w:sz="0" w:space="0" w:color="auto"/>
        <w:bottom w:val="none" w:sz="0" w:space="0" w:color="auto"/>
        <w:right w:val="none" w:sz="0" w:space="0" w:color="auto"/>
      </w:divBdr>
      <w:divsChild>
        <w:div w:id="1721245734">
          <w:marLeft w:val="0"/>
          <w:marRight w:val="0"/>
          <w:marTop w:val="0"/>
          <w:marBottom w:val="0"/>
          <w:divBdr>
            <w:top w:val="none" w:sz="0" w:space="0" w:color="auto"/>
            <w:left w:val="none" w:sz="0" w:space="0" w:color="auto"/>
            <w:bottom w:val="none" w:sz="0" w:space="0" w:color="auto"/>
            <w:right w:val="none" w:sz="0" w:space="0" w:color="auto"/>
          </w:divBdr>
          <w:divsChild>
            <w:div w:id="1100373058">
              <w:marLeft w:val="0"/>
              <w:marRight w:val="0"/>
              <w:marTop w:val="0"/>
              <w:marBottom w:val="0"/>
              <w:divBdr>
                <w:top w:val="none" w:sz="0" w:space="0" w:color="auto"/>
                <w:left w:val="none" w:sz="0" w:space="0" w:color="auto"/>
                <w:bottom w:val="none" w:sz="0" w:space="0" w:color="auto"/>
                <w:right w:val="none" w:sz="0" w:space="0" w:color="auto"/>
              </w:divBdr>
              <w:divsChild>
                <w:div w:id="1189216725">
                  <w:marLeft w:val="0"/>
                  <w:marRight w:val="0"/>
                  <w:marTop w:val="0"/>
                  <w:marBottom w:val="0"/>
                  <w:divBdr>
                    <w:top w:val="none" w:sz="0" w:space="0" w:color="auto"/>
                    <w:left w:val="none" w:sz="0" w:space="0" w:color="auto"/>
                    <w:bottom w:val="none" w:sz="0" w:space="0" w:color="auto"/>
                    <w:right w:val="none" w:sz="0" w:space="0" w:color="auto"/>
                  </w:divBdr>
                  <w:divsChild>
                    <w:div w:id="612713639">
                      <w:marLeft w:val="0"/>
                      <w:marRight w:val="0"/>
                      <w:marTop w:val="0"/>
                      <w:marBottom w:val="0"/>
                      <w:divBdr>
                        <w:top w:val="none" w:sz="0" w:space="0" w:color="auto"/>
                        <w:left w:val="none" w:sz="0" w:space="0" w:color="auto"/>
                        <w:bottom w:val="none" w:sz="0" w:space="0" w:color="auto"/>
                        <w:right w:val="none" w:sz="0" w:space="0" w:color="auto"/>
                      </w:divBdr>
                      <w:divsChild>
                        <w:div w:id="1753430765">
                          <w:marLeft w:val="0"/>
                          <w:marRight w:val="0"/>
                          <w:marTop w:val="0"/>
                          <w:marBottom w:val="0"/>
                          <w:divBdr>
                            <w:top w:val="none" w:sz="0" w:space="0" w:color="auto"/>
                            <w:left w:val="none" w:sz="0" w:space="0" w:color="auto"/>
                            <w:bottom w:val="none" w:sz="0" w:space="0" w:color="auto"/>
                            <w:right w:val="none" w:sz="0" w:space="0" w:color="auto"/>
                          </w:divBdr>
                          <w:divsChild>
                            <w:div w:id="587466565">
                              <w:marLeft w:val="0"/>
                              <w:marRight w:val="0"/>
                              <w:marTop w:val="0"/>
                              <w:marBottom w:val="0"/>
                              <w:divBdr>
                                <w:top w:val="single" w:sz="6" w:space="0" w:color="auto"/>
                                <w:left w:val="single" w:sz="6" w:space="0" w:color="auto"/>
                                <w:bottom w:val="single" w:sz="6" w:space="0" w:color="auto"/>
                                <w:right w:val="single" w:sz="6" w:space="0" w:color="auto"/>
                              </w:divBdr>
                              <w:divsChild>
                                <w:div w:id="1418599684">
                                  <w:marLeft w:val="0"/>
                                  <w:marRight w:val="0"/>
                                  <w:marTop w:val="0"/>
                                  <w:marBottom w:val="0"/>
                                  <w:divBdr>
                                    <w:top w:val="none" w:sz="0" w:space="0" w:color="auto"/>
                                    <w:left w:val="none" w:sz="0" w:space="0" w:color="auto"/>
                                    <w:bottom w:val="none" w:sz="0" w:space="0" w:color="auto"/>
                                    <w:right w:val="none" w:sz="0" w:space="0" w:color="auto"/>
                                  </w:divBdr>
                                  <w:divsChild>
                                    <w:div w:id="662704275">
                                      <w:marLeft w:val="0"/>
                                      <w:marRight w:val="0"/>
                                      <w:marTop w:val="0"/>
                                      <w:marBottom w:val="0"/>
                                      <w:divBdr>
                                        <w:top w:val="none" w:sz="0" w:space="0" w:color="auto"/>
                                        <w:left w:val="none" w:sz="0" w:space="0" w:color="auto"/>
                                        <w:bottom w:val="none" w:sz="0" w:space="0" w:color="auto"/>
                                        <w:right w:val="none" w:sz="0" w:space="0" w:color="auto"/>
                                      </w:divBdr>
                                      <w:divsChild>
                                        <w:div w:id="1877306487">
                                          <w:marLeft w:val="0"/>
                                          <w:marRight w:val="0"/>
                                          <w:marTop w:val="0"/>
                                          <w:marBottom w:val="0"/>
                                          <w:divBdr>
                                            <w:top w:val="none" w:sz="0" w:space="0" w:color="auto"/>
                                            <w:left w:val="none" w:sz="0" w:space="0" w:color="auto"/>
                                            <w:bottom w:val="none" w:sz="0" w:space="0" w:color="auto"/>
                                            <w:right w:val="none" w:sz="0" w:space="0" w:color="auto"/>
                                          </w:divBdr>
                                          <w:divsChild>
                                            <w:div w:id="793445713">
                                              <w:marLeft w:val="0"/>
                                              <w:marRight w:val="0"/>
                                              <w:marTop w:val="0"/>
                                              <w:marBottom w:val="0"/>
                                              <w:divBdr>
                                                <w:top w:val="none" w:sz="0" w:space="0" w:color="auto"/>
                                                <w:left w:val="none" w:sz="0" w:space="0" w:color="auto"/>
                                                <w:bottom w:val="none" w:sz="0" w:space="0" w:color="auto"/>
                                                <w:right w:val="none" w:sz="0" w:space="0" w:color="auto"/>
                                              </w:divBdr>
                                              <w:divsChild>
                                                <w:div w:id="480269646">
                                                  <w:marLeft w:val="0"/>
                                                  <w:marRight w:val="0"/>
                                                  <w:marTop w:val="0"/>
                                                  <w:marBottom w:val="0"/>
                                                  <w:divBdr>
                                                    <w:top w:val="none" w:sz="0" w:space="0" w:color="auto"/>
                                                    <w:left w:val="none" w:sz="0" w:space="0" w:color="auto"/>
                                                    <w:bottom w:val="none" w:sz="0" w:space="0" w:color="auto"/>
                                                    <w:right w:val="none" w:sz="0" w:space="0" w:color="auto"/>
                                                  </w:divBdr>
                                                  <w:divsChild>
                                                    <w:div w:id="1571228170">
                                                      <w:marLeft w:val="0"/>
                                                      <w:marRight w:val="0"/>
                                                      <w:marTop w:val="0"/>
                                                      <w:marBottom w:val="0"/>
                                                      <w:divBdr>
                                                        <w:top w:val="none" w:sz="0" w:space="0" w:color="auto"/>
                                                        <w:left w:val="none" w:sz="0" w:space="0" w:color="auto"/>
                                                        <w:bottom w:val="none" w:sz="0" w:space="0" w:color="auto"/>
                                                        <w:right w:val="none" w:sz="0" w:space="0" w:color="auto"/>
                                                      </w:divBdr>
                                                      <w:divsChild>
                                                        <w:div w:id="933636565">
                                                          <w:marLeft w:val="0"/>
                                                          <w:marRight w:val="0"/>
                                                          <w:marTop w:val="0"/>
                                                          <w:marBottom w:val="0"/>
                                                          <w:divBdr>
                                                            <w:top w:val="none" w:sz="0" w:space="0" w:color="auto"/>
                                                            <w:left w:val="none" w:sz="0" w:space="0" w:color="auto"/>
                                                            <w:bottom w:val="none" w:sz="0" w:space="0" w:color="auto"/>
                                                            <w:right w:val="none" w:sz="0" w:space="0" w:color="auto"/>
                                                          </w:divBdr>
                                                          <w:divsChild>
                                                            <w:div w:id="1003901789">
                                                              <w:marLeft w:val="0"/>
                                                              <w:marRight w:val="0"/>
                                                              <w:marTop w:val="0"/>
                                                              <w:marBottom w:val="0"/>
                                                              <w:divBdr>
                                                                <w:top w:val="none" w:sz="0" w:space="0" w:color="auto"/>
                                                                <w:left w:val="none" w:sz="0" w:space="0" w:color="auto"/>
                                                                <w:bottom w:val="none" w:sz="0" w:space="0" w:color="auto"/>
                                                                <w:right w:val="none" w:sz="0" w:space="0" w:color="auto"/>
                                                              </w:divBdr>
                                                              <w:divsChild>
                                                                <w:div w:id="1240870840">
                                                                  <w:marLeft w:val="0"/>
                                                                  <w:marRight w:val="0"/>
                                                                  <w:marTop w:val="0"/>
                                                                  <w:marBottom w:val="0"/>
                                                                  <w:divBdr>
                                                                    <w:top w:val="none" w:sz="0" w:space="0" w:color="auto"/>
                                                                    <w:left w:val="none" w:sz="0" w:space="0" w:color="auto"/>
                                                                    <w:bottom w:val="none" w:sz="0" w:space="0" w:color="auto"/>
                                                                    <w:right w:val="none" w:sz="0" w:space="0" w:color="auto"/>
                                                                  </w:divBdr>
                                                                  <w:divsChild>
                                                                    <w:div w:id="1100175428">
                                                                      <w:marLeft w:val="405"/>
                                                                      <w:marRight w:val="0"/>
                                                                      <w:marTop w:val="0"/>
                                                                      <w:marBottom w:val="0"/>
                                                                      <w:divBdr>
                                                                        <w:top w:val="none" w:sz="0" w:space="0" w:color="auto"/>
                                                                        <w:left w:val="none" w:sz="0" w:space="0" w:color="auto"/>
                                                                        <w:bottom w:val="none" w:sz="0" w:space="0" w:color="auto"/>
                                                                        <w:right w:val="none" w:sz="0" w:space="0" w:color="auto"/>
                                                                      </w:divBdr>
                                                                      <w:divsChild>
                                                                        <w:div w:id="1338997123">
                                                                          <w:marLeft w:val="0"/>
                                                                          <w:marRight w:val="0"/>
                                                                          <w:marTop w:val="0"/>
                                                                          <w:marBottom w:val="0"/>
                                                                          <w:divBdr>
                                                                            <w:top w:val="none" w:sz="0" w:space="0" w:color="auto"/>
                                                                            <w:left w:val="none" w:sz="0" w:space="0" w:color="auto"/>
                                                                            <w:bottom w:val="none" w:sz="0" w:space="0" w:color="auto"/>
                                                                            <w:right w:val="none" w:sz="0" w:space="0" w:color="auto"/>
                                                                          </w:divBdr>
                                                                          <w:divsChild>
                                                                            <w:div w:id="551969294">
                                                                              <w:marLeft w:val="0"/>
                                                                              <w:marRight w:val="0"/>
                                                                              <w:marTop w:val="0"/>
                                                                              <w:marBottom w:val="0"/>
                                                                              <w:divBdr>
                                                                                <w:top w:val="none" w:sz="0" w:space="0" w:color="auto"/>
                                                                                <w:left w:val="none" w:sz="0" w:space="0" w:color="auto"/>
                                                                                <w:bottom w:val="none" w:sz="0" w:space="0" w:color="auto"/>
                                                                                <w:right w:val="none" w:sz="0" w:space="0" w:color="auto"/>
                                                                              </w:divBdr>
                                                                              <w:divsChild>
                                                                                <w:div w:id="1746609983">
                                                                                  <w:marLeft w:val="0"/>
                                                                                  <w:marRight w:val="0"/>
                                                                                  <w:marTop w:val="0"/>
                                                                                  <w:marBottom w:val="0"/>
                                                                                  <w:divBdr>
                                                                                    <w:top w:val="none" w:sz="0" w:space="0" w:color="auto"/>
                                                                                    <w:left w:val="none" w:sz="0" w:space="0" w:color="auto"/>
                                                                                    <w:bottom w:val="none" w:sz="0" w:space="0" w:color="auto"/>
                                                                                    <w:right w:val="none" w:sz="0" w:space="0" w:color="auto"/>
                                                                                  </w:divBdr>
                                                                                  <w:divsChild>
                                                                                    <w:div w:id="996152124">
                                                                                      <w:marLeft w:val="0"/>
                                                                                      <w:marRight w:val="0"/>
                                                                                      <w:marTop w:val="0"/>
                                                                                      <w:marBottom w:val="0"/>
                                                                                      <w:divBdr>
                                                                                        <w:top w:val="none" w:sz="0" w:space="0" w:color="auto"/>
                                                                                        <w:left w:val="none" w:sz="0" w:space="0" w:color="auto"/>
                                                                                        <w:bottom w:val="none" w:sz="0" w:space="0" w:color="auto"/>
                                                                                        <w:right w:val="none" w:sz="0" w:space="0" w:color="auto"/>
                                                                                      </w:divBdr>
                                                                                      <w:divsChild>
                                                                                        <w:div w:id="2115782906">
                                                                                          <w:marLeft w:val="0"/>
                                                                                          <w:marRight w:val="0"/>
                                                                                          <w:marTop w:val="0"/>
                                                                                          <w:marBottom w:val="0"/>
                                                                                          <w:divBdr>
                                                                                            <w:top w:val="none" w:sz="0" w:space="0" w:color="auto"/>
                                                                                            <w:left w:val="none" w:sz="0" w:space="0" w:color="auto"/>
                                                                                            <w:bottom w:val="none" w:sz="0" w:space="0" w:color="auto"/>
                                                                                            <w:right w:val="none" w:sz="0" w:space="0" w:color="auto"/>
                                                                                          </w:divBdr>
                                                                                          <w:divsChild>
                                                                                            <w:div w:id="1325163220">
                                                                                              <w:marLeft w:val="0"/>
                                                                                              <w:marRight w:val="0"/>
                                                                                              <w:marTop w:val="0"/>
                                                                                              <w:marBottom w:val="0"/>
                                                                                              <w:divBdr>
                                                                                                <w:top w:val="none" w:sz="0" w:space="0" w:color="auto"/>
                                                                                                <w:left w:val="none" w:sz="0" w:space="0" w:color="auto"/>
                                                                                                <w:bottom w:val="none" w:sz="0" w:space="0" w:color="auto"/>
                                                                                                <w:right w:val="none" w:sz="0" w:space="0" w:color="auto"/>
                                                                                              </w:divBdr>
                                                                                              <w:divsChild>
                                                                                                <w:div w:id="1133131969">
                                                                                                  <w:marLeft w:val="0"/>
                                                                                                  <w:marRight w:val="0"/>
                                                                                                  <w:marTop w:val="15"/>
                                                                                                  <w:marBottom w:val="0"/>
                                                                                                  <w:divBdr>
                                                                                                    <w:top w:val="none" w:sz="0" w:space="0" w:color="auto"/>
                                                                                                    <w:left w:val="none" w:sz="0" w:space="0" w:color="auto"/>
                                                                                                    <w:bottom w:val="single" w:sz="6" w:space="15" w:color="auto"/>
                                                                                                    <w:right w:val="none" w:sz="0" w:space="0" w:color="auto"/>
                                                                                                  </w:divBdr>
                                                                                                  <w:divsChild>
                                                                                                    <w:div w:id="1393116387">
                                                                                                      <w:marLeft w:val="0"/>
                                                                                                      <w:marRight w:val="0"/>
                                                                                                      <w:marTop w:val="180"/>
                                                                                                      <w:marBottom w:val="0"/>
                                                                                                      <w:divBdr>
                                                                                                        <w:top w:val="none" w:sz="0" w:space="0" w:color="auto"/>
                                                                                                        <w:left w:val="none" w:sz="0" w:space="0" w:color="auto"/>
                                                                                                        <w:bottom w:val="none" w:sz="0" w:space="0" w:color="auto"/>
                                                                                                        <w:right w:val="none" w:sz="0" w:space="0" w:color="auto"/>
                                                                                                      </w:divBdr>
                                                                                                      <w:divsChild>
                                                                                                        <w:div w:id="975526890">
                                                                                                          <w:marLeft w:val="0"/>
                                                                                                          <w:marRight w:val="0"/>
                                                                                                          <w:marTop w:val="0"/>
                                                                                                          <w:marBottom w:val="0"/>
                                                                                                          <w:divBdr>
                                                                                                            <w:top w:val="none" w:sz="0" w:space="0" w:color="auto"/>
                                                                                                            <w:left w:val="none" w:sz="0" w:space="0" w:color="auto"/>
                                                                                                            <w:bottom w:val="none" w:sz="0" w:space="0" w:color="auto"/>
                                                                                                            <w:right w:val="none" w:sz="0" w:space="0" w:color="auto"/>
                                                                                                          </w:divBdr>
                                                                                                          <w:divsChild>
                                                                                                            <w:div w:id="2130202394">
                                                                                                              <w:marLeft w:val="0"/>
                                                                                                              <w:marRight w:val="0"/>
                                                                                                              <w:marTop w:val="0"/>
                                                                                                              <w:marBottom w:val="0"/>
                                                                                                              <w:divBdr>
                                                                                                                <w:top w:val="none" w:sz="0" w:space="0" w:color="auto"/>
                                                                                                                <w:left w:val="none" w:sz="0" w:space="0" w:color="auto"/>
                                                                                                                <w:bottom w:val="none" w:sz="0" w:space="0" w:color="auto"/>
                                                                                                                <w:right w:val="none" w:sz="0" w:space="0" w:color="auto"/>
                                                                                                              </w:divBdr>
                                                                                                              <w:divsChild>
                                                                                                                <w:div w:id="568611932">
                                                                                                                  <w:marLeft w:val="0"/>
                                                                                                                  <w:marRight w:val="0"/>
                                                                                                                  <w:marTop w:val="30"/>
                                                                                                                  <w:marBottom w:val="0"/>
                                                                                                                  <w:divBdr>
                                                                                                                    <w:top w:val="none" w:sz="0" w:space="0" w:color="auto"/>
                                                                                                                    <w:left w:val="none" w:sz="0" w:space="0" w:color="auto"/>
                                                                                                                    <w:bottom w:val="none" w:sz="0" w:space="0" w:color="auto"/>
                                                                                                                    <w:right w:val="none" w:sz="0" w:space="0" w:color="auto"/>
                                                                                                                  </w:divBdr>
                                                                                                                  <w:divsChild>
                                                                                                                    <w:div w:id="1353067814">
                                                                                                                      <w:marLeft w:val="0"/>
                                                                                                                      <w:marRight w:val="0"/>
                                                                                                                      <w:marTop w:val="0"/>
                                                                                                                      <w:marBottom w:val="0"/>
                                                                                                                      <w:divBdr>
                                                                                                                        <w:top w:val="none" w:sz="0" w:space="0" w:color="auto"/>
                                                                                                                        <w:left w:val="none" w:sz="0" w:space="0" w:color="auto"/>
                                                                                                                        <w:bottom w:val="none" w:sz="0" w:space="0" w:color="auto"/>
                                                                                                                        <w:right w:val="none" w:sz="0" w:space="0" w:color="auto"/>
                                                                                                                      </w:divBdr>
                                                                                                                      <w:divsChild>
                                                                                                                        <w:div w:id="657151197">
                                                                                                                          <w:marLeft w:val="0"/>
                                                                                                                          <w:marRight w:val="0"/>
                                                                                                                          <w:marTop w:val="0"/>
                                                                                                                          <w:marBottom w:val="0"/>
                                                                                                                          <w:divBdr>
                                                                                                                            <w:top w:val="none" w:sz="0" w:space="0" w:color="auto"/>
                                                                                                                            <w:left w:val="none" w:sz="0" w:space="0" w:color="auto"/>
                                                                                                                            <w:bottom w:val="none" w:sz="0" w:space="0" w:color="auto"/>
                                                                                                                            <w:right w:val="none" w:sz="0" w:space="0" w:color="auto"/>
                                                                                                                          </w:divBdr>
                                                                                                                          <w:divsChild>
                                                                                                                            <w:div w:id="241139375">
                                                                                                                              <w:marLeft w:val="0"/>
                                                                                                                              <w:marRight w:val="0"/>
                                                                                                                              <w:marTop w:val="0"/>
                                                                                                                              <w:marBottom w:val="0"/>
                                                                                                                              <w:divBdr>
                                                                                                                                <w:top w:val="none" w:sz="0" w:space="0" w:color="auto"/>
                                                                                                                                <w:left w:val="none" w:sz="0" w:space="0" w:color="auto"/>
                                                                                                                                <w:bottom w:val="none" w:sz="0" w:space="0" w:color="auto"/>
                                                                                                                                <w:right w:val="none" w:sz="0" w:space="0" w:color="auto"/>
                                                                                                                              </w:divBdr>
                                                                                                                              <w:divsChild>
                                                                                                                                <w:div w:id="1460957357">
                                                                                                                                  <w:marLeft w:val="0"/>
                                                                                                                                  <w:marRight w:val="0"/>
                                                                                                                                  <w:marTop w:val="0"/>
                                                                                                                                  <w:marBottom w:val="200"/>
                                                                                                                                  <w:divBdr>
                                                                                                                                    <w:top w:val="none" w:sz="0" w:space="0" w:color="auto"/>
                                                                                                                                    <w:left w:val="none" w:sz="0" w:space="0" w:color="auto"/>
                                                                                                                                    <w:bottom w:val="none" w:sz="0" w:space="0" w:color="auto"/>
                                                                                                                                    <w:right w:val="none" w:sz="0" w:space="0" w:color="auto"/>
                                                                                                                                  </w:divBdr>
                                                                                                                                </w:div>
                                                                                                                                <w:div w:id="146330663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2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semination_x0020_Year xmlns="7066315d-85e2-41ea-b198-ffdb6bc7cf13">2015</Dissemination_x0020_Year>
    <Content_x0020_Type xmlns="7066315d-85e2-41ea-b198-ffdb6bc7cf13">Documentation</Content_x0020_Type>
    <Topic_x0020_Area xmlns="7066315d-85e2-41ea-b198-ffdb6bc7cf13">Supplemental Poverty</Topic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359C3C2901B4497565E04A18B811F" ma:contentTypeVersion="4" ma:contentTypeDescription="Create a new document." ma:contentTypeScope="" ma:versionID="6f6701020b3e6f20023d08620a3e6c11">
  <xsd:schema xmlns:xsd="http://www.w3.org/2001/XMLSchema" xmlns:xs="http://www.w3.org/2001/XMLSchema" xmlns:p="http://schemas.microsoft.com/office/2006/metadata/properties" xmlns:ns2="7066315d-85e2-41ea-b198-ffdb6bc7cf13" targetNamespace="http://schemas.microsoft.com/office/2006/metadata/properties" ma:root="true" ma:fieldsID="8d0fb31bcf21931aafe526f65e69d0a4" ns2:_="">
    <xsd:import namespace="7066315d-85e2-41ea-b198-ffdb6bc7cf13"/>
    <xsd:element name="properties">
      <xsd:complexType>
        <xsd:sequence>
          <xsd:element name="documentManagement">
            <xsd:complexType>
              <xsd:all>
                <xsd:element ref="ns2:Dissemination_x0020_Year"/>
                <xsd:element ref="ns2:Topic_x0020_Area"/>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6315d-85e2-41ea-b198-ffdb6bc7cf13" elementFormDefault="qualified">
    <xsd:import namespace="http://schemas.microsoft.com/office/2006/documentManagement/types"/>
    <xsd:import namespace="http://schemas.microsoft.com/office/infopath/2007/PartnerControls"/>
    <xsd:element name="Dissemination_x0020_Year" ma:index="8" ma:displayName="Survey Year" ma:description="Enter the four-digit survey year to which the item relates.  For example, for data collected in 2015, enter 2015." ma:internalName="Dissemination_x0020_Year">
      <xsd:simpleType>
        <xsd:restriction base="dms:Text">
          <xsd:maxLength value="4"/>
        </xsd:restriction>
      </xsd:simpleType>
    </xsd:element>
    <xsd:element name="Topic_x0020_Area" ma:index="9" ma:displayName="Topic Area" ma:description="Topic Area to which the item relates" ma:format="Dropdown" ma:internalName="Topic_x0020_Area">
      <xsd:simpleType>
        <xsd:restriction base="dms:Choice">
          <xsd:enumeration value="Income"/>
          <xsd:enumeration value="Poverty"/>
          <xsd:enumeration value="Health Insurance"/>
          <xsd:enumeration value="Supplemental Poverty"/>
          <xsd:enumeration value="Multiple"/>
        </xsd:restriction>
      </xsd:simpleType>
    </xsd:element>
    <xsd:element name="Content_x0020_Type" ma:index="10" nillable="true" ma:displayName="Content Type" ma:default="Instruction Sheet" ma:description="Type of document" ma:format="Dropdown" ma:internalName="Content_x0020_Type">
      <xsd:simpleType>
        <xsd:restriction base="dms:Choice">
          <xsd:enumeration value="Instruction Sheet"/>
          <xsd:enumeration value="Page Asset"/>
          <xsd:enumeration value="Documentat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C4AA-6A9B-4387-B9FA-F2E768D57A61}">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7066315d-85e2-41ea-b198-ffdb6bc7cf13"/>
  </ds:schemaRefs>
</ds:datastoreItem>
</file>

<file path=customXml/itemProps2.xml><?xml version="1.0" encoding="utf-8"?>
<ds:datastoreItem xmlns:ds="http://schemas.openxmlformats.org/officeDocument/2006/customXml" ds:itemID="{918B9779-2561-4D13-ACDC-D81FE5F355E9}">
  <ds:schemaRefs>
    <ds:schemaRef ds:uri="http://schemas.microsoft.com/sharepoint/v3/contenttype/forms"/>
  </ds:schemaRefs>
</ds:datastoreItem>
</file>

<file path=customXml/itemProps3.xml><?xml version="1.0" encoding="utf-8"?>
<ds:datastoreItem xmlns:ds="http://schemas.openxmlformats.org/officeDocument/2006/customXml" ds:itemID="{309217DC-BEF0-4D95-9DFE-0D229BFE7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6315d-85e2-41ea-b198-ffdb6bc7c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00A72-F7D2-4FD1-9199-3F7599FF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3C2CCC9D.dotm</Template>
  <TotalTime>16</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READ ME File</vt:lpstr>
    </vt:vector>
  </TitlesOfParts>
  <Company>U.S. Department of Commerce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ME File</dc:title>
  <dc:subject/>
  <dc:creator>renwi301</dc:creator>
  <cp:keywords/>
  <dc:description/>
  <cp:lastModifiedBy>Liana Fox (CENSUS/SEHSD FED)</cp:lastModifiedBy>
  <cp:revision>3</cp:revision>
  <cp:lastPrinted>2017-09-08T17:16:00Z</cp:lastPrinted>
  <dcterms:created xsi:type="dcterms:W3CDTF">2018-09-06T20:10:00Z</dcterms:created>
  <dcterms:modified xsi:type="dcterms:W3CDTF">2018-09-06T20:26:00Z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0x0101002D6359C3C2901B4497565E04A18B811F</vt:lpwstr>
  </property>
</Properties>
</file>