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74E" w:rsidRPr="008B674E" w:rsidRDefault="008B674E" w:rsidP="008B674E">
      <w:pPr>
        <w:rPr>
          <w:rFonts w:ascii="Calibri" w:eastAsia="Times New Roman" w:hAnsi="Calibri" w:cs="Calibri"/>
          <w:color w:val="000000"/>
        </w:rPr>
      </w:pPr>
      <w:r w:rsidRPr="008B674E">
        <w:rPr>
          <w:rFonts w:ascii="Calibri" w:eastAsia="Times New Roman" w:hAnsi="Calibri" w:cs="Calibri"/>
          <w:b/>
          <w:bCs/>
          <w:color w:val="000000"/>
          <w:sz w:val="27"/>
          <w:szCs w:val="27"/>
        </w:rPr>
        <w:t>Call for Papers</w:t>
      </w:r>
      <w:r w:rsidRPr="008B674E">
        <w:rPr>
          <w:rFonts w:ascii="Calibri" w:eastAsia="Times New Roman" w:hAnsi="Calibri" w:cs="Calibri"/>
          <w:b/>
          <w:bCs/>
          <w:color w:val="000000"/>
          <w:sz w:val="27"/>
          <w:szCs w:val="27"/>
        </w:rPr>
        <w:br/>
      </w:r>
      <w:r w:rsidRPr="008B674E">
        <w:rPr>
          <w:rFonts w:ascii="Calibri" w:eastAsia="Times New Roman" w:hAnsi="Calibri" w:cs="Calibri"/>
          <w:b/>
          <w:bCs/>
          <w:color w:val="000000"/>
          <w:sz w:val="27"/>
          <w:szCs w:val="27"/>
        </w:rPr>
        <w:br/>
      </w:r>
      <w:r w:rsidRPr="008B674E">
        <w:rPr>
          <w:rFonts w:ascii="Calibri" w:eastAsia="Times New Roman" w:hAnsi="Calibri" w:cs="Calibri"/>
          <w:color w:val="000000"/>
          <w:sz w:val="24"/>
          <w:szCs w:val="24"/>
        </w:rPr>
        <w:t>The 43rd Annual NBER Summer Institute will be held in Cambridge, Massachusetts from July 6 to July 24, 2020. There will be workshops on each of the following topics.  The detailed meeting calendar may be </w:t>
      </w:r>
      <w:hyperlink r:id="rId4" w:tgtFrame="blank" w:history="1">
        <w:r w:rsidRPr="008B674E">
          <w:rPr>
            <w:rFonts w:ascii="Calibri" w:eastAsia="Times New Roman" w:hAnsi="Calibri" w:cs="Calibri"/>
            <w:color w:val="954F72"/>
            <w:sz w:val="24"/>
            <w:szCs w:val="24"/>
            <w:u w:val="single"/>
          </w:rPr>
          <w:t>found here</w:t>
        </w:r>
      </w:hyperlink>
      <w:r w:rsidRPr="008B674E">
        <w:rPr>
          <w:rFonts w:ascii="Calibri" w:eastAsia="Times New Roman" w:hAnsi="Calibri" w:cs="Calibri"/>
          <w:color w:val="0000FF"/>
          <w:sz w:val="24"/>
          <w:szCs w:val="24"/>
          <w:u w:val="single"/>
        </w:rPr>
        <w:t>.</w:t>
      </w:r>
      <w:r w:rsidRPr="008B674E">
        <w:rPr>
          <w:rFonts w:ascii="Calibri" w:eastAsia="Times New Roman" w:hAnsi="Calibri" w:cs="Calibri"/>
          <w:color w:val="0000FF"/>
          <w:sz w:val="24"/>
          <w:szCs w:val="24"/>
          <w:u w:val="single"/>
        </w:rPr>
        <w:br/>
      </w:r>
      <w:r w:rsidRPr="008B674E">
        <w:rPr>
          <w:rFonts w:ascii="Calibri" w:eastAsia="Times New Roman" w:hAnsi="Calibri" w:cs="Calibri"/>
          <w:color w:val="0000FF"/>
          <w:sz w:val="24"/>
          <w:szCs w:val="24"/>
          <w:u w:val="single"/>
        </w:rPr>
        <w:br/>
      </w:r>
    </w:p>
    <w:tbl>
      <w:tblPr>
        <w:tblW w:w="4700" w:type="pct"/>
        <w:tblCellSpacing w:w="15" w:type="dxa"/>
        <w:tblCellMar>
          <w:left w:w="0" w:type="dxa"/>
          <w:right w:w="0" w:type="dxa"/>
        </w:tblCellMar>
        <w:tblLook w:val="04A0" w:firstRow="1" w:lastRow="0" w:firstColumn="1" w:lastColumn="0" w:noHBand="0" w:noVBand="1"/>
      </w:tblPr>
      <w:tblGrid>
        <w:gridCol w:w="4133"/>
        <w:gridCol w:w="4665"/>
      </w:tblGrid>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Asset Pricing</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Health Economics</w:t>
            </w:r>
          </w:p>
        </w:tc>
      </w:tr>
      <w:tr w:rsidR="008B674E" w:rsidRPr="008B674E" w:rsidTr="0014359E">
        <w:trPr>
          <w:tblCellSpacing w:w="15" w:type="dxa"/>
        </w:trPr>
        <w:tc>
          <w:tcPr>
            <w:tcW w:w="2323" w:type="pct"/>
            <w:tcMar>
              <w:top w:w="15" w:type="dxa"/>
              <w:left w:w="15" w:type="dxa"/>
              <w:bottom w:w="15" w:type="dxa"/>
              <w:right w:w="15" w:type="dxa"/>
            </w:tcMar>
            <w:vAlign w:val="center"/>
          </w:tcPr>
          <w:p w:rsidR="008B674E" w:rsidRPr="008B674E" w:rsidRDefault="008B674E" w:rsidP="008B674E">
            <w:pPr>
              <w:rPr>
                <w:rFonts w:ascii="Calibri" w:eastAsia="Times New Roman" w:hAnsi="Calibri" w:cs="Calibri"/>
              </w:rPr>
            </w:pPr>
            <w:r>
              <w:rPr>
                <w:rFonts w:ascii="Tahoma" w:hAnsi="Tahoma" w:cs="Tahoma"/>
                <w:color w:val="000000"/>
                <w:sz w:val="20"/>
                <w:szCs w:val="20"/>
              </w:rPr>
              <w:t>Big Data and High-Performance Computing</w:t>
            </w:r>
            <w:bookmarkStart w:id="0" w:name="_GoBack"/>
            <w:bookmarkEnd w:id="0"/>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Household Finance</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Corporate Finance</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Industrial Organization</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Development Economics</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International Finance</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Development of the American Economy</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International Trade and Investment</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 Fluctuations and Growth</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Labor Economics</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Aging</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Law and Economics</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Children</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Monetary Economics</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Crime</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Personnel Economics</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Education</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Political Economy</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Intellectual Property</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Productivity, Innovation, and Entrepreneurship</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IT and Digitization</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Public Economics</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National Security</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Risk of Financial Institutions</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Economics of Real Estate</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Science of Science Funding</w:t>
            </w:r>
          </w:p>
        </w:tc>
      </w:tr>
      <w:tr w:rsidR="008B674E" w:rsidRPr="008B674E" w:rsidTr="008B674E">
        <w:trPr>
          <w:tblCellSpacing w:w="15" w:type="dxa"/>
        </w:trPr>
        <w:tc>
          <w:tcPr>
            <w:tcW w:w="2323" w:type="pct"/>
            <w:tcMar>
              <w:top w:w="15" w:type="dxa"/>
              <w:left w:w="15" w:type="dxa"/>
              <w:bottom w:w="15" w:type="dxa"/>
              <w:right w:w="15" w:type="dxa"/>
            </w:tcMar>
            <w:vAlign w:val="center"/>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Environmental and Energy Economics</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Social Security</w:t>
            </w:r>
          </w:p>
        </w:tc>
      </w:tr>
      <w:tr w:rsidR="008B674E" w:rsidRPr="008B674E" w:rsidTr="008B674E">
        <w:trPr>
          <w:tblCellSpacing w:w="15" w:type="dxa"/>
        </w:trPr>
        <w:tc>
          <w:tcPr>
            <w:tcW w:w="2323"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Pr>
                <w:rFonts w:ascii="Calibri" w:eastAsia="Times New Roman" w:hAnsi="Calibri" w:cs="Calibri"/>
              </w:rPr>
              <w:t>Gender in Economics</w:t>
            </w:r>
          </w:p>
        </w:tc>
        <w:tc>
          <w:tcPr>
            <w:tcW w:w="2626" w:type="pct"/>
            <w:tcMar>
              <w:top w:w="15" w:type="dxa"/>
              <w:left w:w="15" w:type="dxa"/>
              <w:bottom w:w="15" w:type="dxa"/>
              <w:right w:w="15" w:type="dxa"/>
            </w:tcMar>
            <w:vAlign w:val="center"/>
            <w:hideMark/>
          </w:tcPr>
          <w:p w:rsidR="008B674E" w:rsidRPr="008B674E" w:rsidRDefault="008B674E" w:rsidP="008B674E">
            <w:pPr>
              <w:rPr>
                <w:rFonts w:ascii="Calibri" w:eastAsia="Times New Roman" w:hAnsi="Calibri" w:cs="Calibri"/>
              </w:rPr>
            </w:pPr>
            <w:r w:rsidRPr="008B674E">
              <w:rPr>
                <w:rFonts w:ascii="Calibri" w:eastAsia="Times New Roman" w:hAnsi="Calibri" w:cs="Calibri"/>
                <w:color w:val="000000"/>
                <w:sz w:val="24"/>
                <w:szCs w:val="24"/>
              </w:rPr>
              <w:t>Urban Economics</w:t>
            </w:r>
          </w:p>
        </w:tc>
      </w:tr>
      <w:tr w:rsidR="008B674E" w:rsidRPr="008B674E" w:rsidTr="008B674E">
        <w:trPr>
          <w:tblCellSpacing w:w="15" w:type="dxa"/>
        </w:trPr>
        <w:tc>
          <w:tcPr>
            <w:tcW w:w="2323" w:type="pct"/>
            <w:tcMar>
              <w:top w:w="15" w:type="dxa"/>
              <w:left w:w="15" w:type="dxa"/>
              <w:bottom w:w="15" w:type="dxa"/>
              <w:right w:w="15" w:type="dxa"/>
            </w:tcMar>
            <w:vAlign w:val="center"/>
          </w:tcPr>
          <w:p w:rsidR="008B674E" w:rsidRPr="008B674E" w:rsidRDefault="008B674E" w:rsidP="008B674E">
            <w:pPr>
              <w:rPr>
                <w:rFonts w:ascii="Calibri" w:eastAsia="Times New Roman" w:hAnsi="Calibri" w:cs="Calibri"/>
                <w:color w:val="000000"/>
                <w:sz w:val="24"/>
                <w:szCs w:val="24"/>
              </w:rPr>
            </w:pPr>
            <w:r w:rsidRPr="008B674E">
              <w:rPr>
                <w:rFonts w:ascii="Calibri" w:eastAsia="Times New Roman" w:hAnsi="Calibri" w:cs="Calibri"/>
                <w:color w:val="000000"/>
                <w:sz w:val="24"/>
                <w:szCs w:val="24"/>
              </w:rPr>
              <w:t>Health Care</w:t>
            </w:r>
          </w:p>
        </w:tc>
        <w:tc>
          <w:tcPr>
            <w:tcW w:w="2626" w:type="pct"/>
            <w:tcMar>
              <w:top w:w="15" w:type="dxa"/>
              <w:left w:w="15" w:type="dxa"/>
              <w:bottom w:w="15" w:type="dxa"/>
              <w:right w:w="15" w:type="dxa"/>
            </w:tcMar>
            <w:vAlign w:val="center"/>
          </w:tcPr>
          <w:p w:rsidR="008B674E" w:rsidRPr="008B674E" w:rsidRDefault="008B674E" w:rsidP="008B674E">
            <w:pPr>
              <w:rPr>
                <w:rFonts w:ascii="Calibri" w:eastAsia="Times New Roman" w:hAnsi="Calibri" w:cs="Calibri"/>
                <w:color w:val="000000"/>
                <w:sz w:val="24"/>
                <w:szCs w:val="24"/>
              </w:rPr>
            </w:pPr>
          </w:p>
        </w:tc>
      </w:tr>
    </w:tbl>
    <w:p w:rsidR="008B674E" w:rsidRPr="008B674E" w:rsidRDefault="008B674E" w:rsidP="008B674E">
      <w:pPr>
        <w:rPr>
          <w:rFonts w:ascii="Calibri" w:eastAsia="Times New Roman" w:hAnsi="Calibri" w:cs="Calibri"/>
          <w:color w:val="000000"/>
        </w:rPr>
      </w:pPr>
      <w:r w:rsidRPr="008B674E">
        <w:rPr>
          <w:rFonts w:ascii="Times New Roman" w:eastAsia="Times New Roman" w:hAnsi="Times New Roman" w:cs="Times New Roman"/>
          <w:color w:val="000000"/>
          <w:sz w:val="24"/>
          <w:szCs w:val="24"/>
        </w:rPr>
        <w:t> </w:t>
      </w:r>
    </w:p>
    <w:p w:rsidR="008B674E" w:rsidRPr="008B674E" w:rsidRDefault="008B674E" w:rsidP="008B674E">
      <w:pPr>
        <w:spacing w:after="160"/>
        <w:rPr>
          <w:rFonts w:ascii="Calibri" w:eastAsia="Times New Roman" w:hAnsi="Calibri" w:cs="Calibri"/>
          <w:color w:val="000000"/>
        </w:rPr>
      </w:pPr>
      <w:r w:rsidRPr="008B674E">
        <w:rPr>
          <w:rFonts w:ascii="Calibri" w:eastAsia="Times New Roman" w:hAnsi="Calibri" w:cs="Calibri"/>
          <w:color w:val="000000"/>
          <w:sz w:val="24"/>
          <w:szCs w:val="24"/>
        </w:rPr>
        <w:t>NBER cannot cover the travel expenses or lodging costs of authors who are invited to present papers, but it does provide continental breakfast and lunch each day for participants.  </w:t>
      </w:r>
      <w:r w:rsidRPr="008B674E">
        <w:rPr>
          <w:rFonts w:ascii="Calibri" w:eastAsia="Times New Roman" w:hAnsi="Calibri" w:cs="Calibri"/>
          <w:color w:val="000000"/>
          <w:sz w:val="24"/>
          <w:szCs w:val="24"/>
        </w:rPr>
        <w:br/>
      </w:r>
      <w:r w:rsidRPr="008B674E">
        <w:rPr>
          <w:rFonts w:ascii="Calibri" w:eastAsia="Times New Roman" w:hAnsi="Calibri" w:cs="Calibri"/>
          <w:color w:val="000000"/>
          <w:sz w:val="24"/>
          <w:szCs w:val="24"/>
        </w:rPr>
        <w:br/>
        <w:t>To be considered for presentation, papers (or, for some programs, one-page abstracts) must be submitted by </w:t>
      </w:r>
      <w:r w:rsidRPr="008B674E">
        <w:rPr>
          <w:rFonts w:ascii="Calibri" w:eastAsia="Times New Roman" w:hAnsi="Calibri" w:cs="Calibri"/>
          <w:b/>
          <w:bCs/>
          <w:color w:val="000000"/>
          <w:sz w:val="24"/>
          <w:szCs w:val="24"/>
        </w:rPr>
        <w:t>12:00 noon (EST) on March 18, 2020</w:t>
      </w:r>
      <w:r w:rsidRPr="008B674E">
        <w:rPr>
          <w:rFonts w:ascii="Calibri" w:eastAsia="Times New Roman" w:hAnsi="Calibri" w:cs="Calibri"/>
          <w:color w:val="000000"/>
          <w:sz w:val="24"/>
          <w:szCs w:val="24"/>
        </w:rPr>
        <w:t>.  Submissions of both empirical and theoretical research, from scholars who are early in their careers, from researchers with and without NBER affiliations, and from scholars who are members of groups that are under-represented in the economics profession, are welcome. The following workshops require the submission of completed papers (no abstracts): Asset Pricing, Corporate Finance, Development Economics, Economic Fluctuations and Growth, Energy and Environmental Economics, Health Economics, Law and Economics, Monetary Economics, and Political Economy.</w:t>
      </w:r>
      <w:r w:rsidRPr="008B674E">
        <w:rPr>
          <w:rFonts w:ascii="Calibri" w:eastAsia="Times New Roman" w:hAnsi="Calibri" w:cs="Calibri"/>
          <w:color w:val="000000"/>
          <w:sz w:val="24"/>
          <w:szCs w:val="24"/>
        </w:rPr>
        <w:br/>
      </w:r>
      <w:r w:rsidRPr="008B674E">
        <w:rPr>
          <w:rFonts w:ascii="Calibri" w:eastAsia="Times New Roman" w:hAnsi="Calibri" w:cs="Calibri"/>
          <w:color w:val="000000"/>
          <w:sz w:val="24"/>
          <w:szCs w:val="24"/>
        </w:rPr>
        <w:br/>
        <w:t>Submissions can be </w:t>
      </w:r>
      <w:hyperlink r:id="rId5" w:history="1">
        <w:r w:rsidRPr="008B674E">
          <w:rPr>
            <w:rFonts w:ascii="Calibri" w:eastAsia="Times New Roman" w:hAnsi="Calibri" w:cs="Calibri"/>
            <w:color w:val="954F72"/>
            <w:sz w:val="24"/>
            <w:szCs w:val="24"/>
            <w:u w:val="single"/>
          </w:rPr>
          <w:t>uploaded here</w:t>
        </w:r>
      </w:hyperlink>
      <w:r w:rsidRPr="008B674E">
        <w:rPr>
          <w:rFonts w:ascii="Calibri" w:eastAsia="Times New Roman" w:hAnsi="Calibri" w:cs="Calibri"/>
          <w:color w:val="000000"/>
          <w:sz w:val="24"/>
          <w:szCs w:val="24"/>
        </w:rPr>
        <w:t>.</w:t>
      </w:r>
      <w:r w:rsidRPr="008B674E">
        <w:rPr>
          <w:rFonts w:ascii="Calibri" w:eastAsia="Times New Roman" w:hAnsi="Calibri" w:cs="Calibri"/>
          <w:color w:val="000000"/>
          <w:sz w:val="24"/>
          <w:szCs w:val="24"/>
        </w:rPr>
        <w:br/>
      </w:r>
      <w:r w:rsidRPr="008B674E">
        <w:rPr>
          <w:rFonts w:ascii="Calibri" w:eastAsia="Times New Roman" w:hAnsi="Calibri" w:cs="Calibri"/>
          <w:color w:val="000000"/>
          <w:sz w:val="24"/>
          <w:szCs w:val="24"/>
        </w:rPr>
        <w:br/>
        <w:t>Please address any questions </w:t>
      </w:r>
      <w:hyperlink r:id="rId6" w:tooltip="Rob Shannon" w:history="1">
        <w:r w:rsidRPr="008B674E">
          <w:rPr>
            <w:rFonts w:ascii="Calibri" w:eastAsia="Times New Roman" w:hAnsi="Calibri" w:cs="Calibri"/>
            <w:color w:val="954F72"/>
            <w:sz w:val="24"/>
            <w:szCs w:val="24"/>
            <w:u w:val="single"/>
          </w:rPr>
          <w:t>Rob Shannon</w:t>
        </w:r>
      </w:hyperlink>
      <w:r w:rsidRPr="008B674E">
        <w:rPr>
          <w:rFonts w:ascii="Calibri" w:eastAsia="Times New Roman" w:hAnsi="Calibri" w:cs="Calibri"/>
          <w:color w:val="000000"/>
          <w:sz w:val="24"/>
          <w:szCs w:val="24"/>
        </w:rPr>
        <w:t> in the NBER Conference Department.</w:t>
      </w:r>
    </w:p>
    <w:p w:rsidR="00B62FF1" w:rsidRDefault="008B674E"/>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4E"/>
    <w:rsid w:val="0002141E"/>
    <w:rsid w:val="0006234D"/>
    <w:rsid w:val="000F60A8"/>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B674E"/>
    <w:rsid w:val="008F0699"/>
    <w:rsid w:val="009926E0"/>
    <w:rsid w:val="00A1617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A582"/>
  <w15:chartTrackingRefBased/>
  <w15:docId w15:val="{B118C68A-4F4A-45EE-81D8-7E20CB99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B674E"/>
  </w:style>
  <w:style w:type="character" w:styleId="Hyperlink">
    <w:name w:val="Hyperlink"/>
    <w:basedOn w:val="DefaultParagraphFont"/>
    <w:uiPriority w:val="99"/>
    <w:semiHidden/>
    <w:unhideWhenUsed/>
    <w:rsid w:val="008B6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annon@nber.org" TargetMode="External"/><Relationship Id="rId5" Type="http://schemas.openxmlformats.org/officeDocument/2006/relationships/hyperlink" Target="http://papers.nber.org/confsubmit/backend/cfp?id=SI20" TargetMode="External"/><Relationship Id="rId4" Type="http://schemas.openxmlformats.org/officeDocument/2006/relationships/hyperlink" Target="http://conference.nber.org/confer/2020/SI2020/SI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dcterms:created xsi:type="dcterms:W3CDTF">2020-01-13T22:29:00Z</dcterms:created>
  <dcterms:modified xsi:type="dcterms:W3CDTF">2020-01-13T22:34:00Z</dcterms:modified>
</cp:coreProperties>
</file>