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E585" w14:textId="3E70890C" w:rsidR="00E17BFF" w:rsidRPr="00364D9A" w:rsidRDefault="00DA5143" w:rsidP="00974D0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b/>
          <w:sz w:val="28"/>
          <w:szCs w:val="28"/>
        </w:rPr>
        <w:t>Call for Papers</w:t>
      </w:r>
      <w:r w:rsidR="000B4191">
        <w:rPr>
          <w:rFonts w:ascii="Cambria" w:eastAsia="MS Mincho" w:hAnsi="Cambria" w:cs="Times New Roman"/>
          <w:b/>
          <w:sz w:val="28"/>
          <w:szCs w:val="28"/>
        </w:rPr>
        <w:br/>
      </w:r>
      <w:bookmarkStart w:id="0" w:name="_GoBack"/>
      <w:r w:rsidR="00AC5F72">
        <w:rPr>
          <w:rFonts w:ascii="Cambria" w:eastAsia="MS Mincho" w:hAnsi="Cambria" w:cs="Times New Roman"/>
          <w:b/>
          <w:sz w:val="28"/>
          <w:szCs w:val="28"/>
        </w:rPr>
        <w:t xml:space="preserve">Financial </w:t>
      </w:r>
      <w:r w:rsidR="00FD4A3D">
        <w:rPr>
          <w:rFonts w:ascii="Cambria" w:eastAsia="MS Mincho" w:hAnsi="Cambria" w:cs="Times New Roman"/>
          <w:b/>
          <w:sz w:val="28"/>
          <w:szCs w:val="28"/>
        </w:rPr>
        <w:t xml:space="preserve">Innovation </w:t>
      </w:r>
      <w:r w:rsidR="004962DC">
        <w:rPr>
          <w:rFonts w:ascii="Cambria" w:eastAsia="MS Mincho" w:hAnsi="Cambria" w:cs="Times New Roman"/>
          <w:b/>
          <w:sz w:val="28"/>
          <w:szCs w:val="28"/>
        </w:rPr>
        <w:t>and</w:t>
      </w:r>
      <w:r w:rsidR="00AC5F72">
        <w:rPr>
          <w:rFonts w:ascii="Cambria" w:eastAsia="MS Mincho" w:hAnsi="Cambria" w:cs="Times New Roman"/>
          <w:b/>
          <w:sz w:val="28"/>
          <w:szCs w:val="28"/>
        </w:rPr>
        <w:t xml:space="preserve"> Regulation </w:t>
      </w:r>
      <w:r w:rsidR="000B4191">
        <w:rPr>
          <w:rFonts w:ascii="Cambria" w:eastAsia="MS Mincho" w:hAnsi="Cambria" w:cs="Times New Roman"/>
          <w:b/>
          <w:sz w:val="28"/>
          <w:szCs w:val="28"/>
        </w:rPr>
        <w:br/>
      </w:r>
      <w:bookmarkEnd w:id="0"/>
      <w:r>
        <w:rPr>
          <w:rFonts w:ascii="Cambria" w:eastAsia="MS Mincho" w:hAnsi="Cambria" w:cs="Times New Roman"/>
          <w:b/>
          <w:sz w:val="28"/>
          <w:szCs w:val="28"/>
        </w:rPr>
        <w:t xml:space="preserve">Cambridge, MA: </w:t>
      </w:r>
      <w:r w:rsidR="00FD4A3D">
        <w:rPr>
          <w:rFonts w:ascii="Cambria" w:eastAsia="MS Mincho" w:hAnsi="Cambria" w:cs="Times New Roman"/>
          <w:b/>
          <w:sz w:val="28"/>
          <w:szCs w:val="28"/>
        </w:rPr>
        <w:t>April 17-18</w:t>
      </w:r>
      <w:r w:rsidR="00AC5F72">
        <w:rPr>
          <w:rFonts w:ascii="Cambria" w:eastAsia="MS Mincho" w:hAnsi="Cambria" w:cs="Times New Roman"/>
          <w:b/>
          <w:sz w:val="28"/>
          <w:szCs w:val="28"/>
        </w:rPr>
        <w:t>, 20</w:t>
      </w:r>
      <w:r w:rsidR="00FD4A3D">
        <w:rPr>
          <w:rFonts w:ascii="Cambria" w:eastAsia="MS Mincho" w:hAnsi="Cambria" w:cs="Times New Roman"/>
          <w:b/>
          <w:sz w:val="28"/>
          <w:szCs w:val="28"/>
        </w:rPr>
        <w:t>20</w:t>
      </w:r>
      <w:r w:rsidR="00AC5F72">
        <w:rPr>
          <w:rFonts w:ascii="Cambria" w:eastAsia="MS Mincho" w:hAnsi="Cambria" w:cs="Times New Roman"/>
          <w:b/>
          <w:sz w:val="28"/>
          <w:szCs w:val="28"/>
        </w:rPr>
        <w:t xml:space="preserve"> </w:t>
      </w:r>
      <w:r w:rsidR="000B4191">
        <w:rPr>
          <w:rFonts w:ascii="Cambria" w:eastAsia="MS Mincho" w:hAnsi="Cambria" w:cs="Times New Roman"/>
          <w:b/>
          <w:sz w:val="28"/>
          <w:szCs w:val="28"/>
        </w:rPr>
        <w:br/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To promote research on </w:t>
      </w:r>
      <w:r w:rsidR="009508A6">
        <w:rPr>
          <w:rFonts w:ascii="Cambria" w:eastAsia="MS Mincho" w:hAnsi="Cambria" w:cs="Times New Roman"/>
          <w:sz w:val="24"/>
          <w:szCs w:val="24"/>
        </w:rPr>
        <w:t>the interaction between financial innovation and regulation</w:t>
      </w:r>
      <w:r w:rsidR="00AC5F72">
        <w:rPr>
          <w:rFonts w:ascii="Cambria" w:eastAsia="MS Mincho" w:hAnsi="Cambria" w:cs="Times New Roman"/>
          <w:sz w:val="24"/>
          <w:szCs w:val="24"/>
        </w:rPr>
        <w:t xml:space="preserve">,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the National Bureau of Economic Research (NBER), with the support of </w:t>
      </w:r>
      <w:r w:rsidR="00AC5F72">
        <w:rPr>
          <w:rFonts w:ascii="Cambria" w:eastAsia="MS Mincho" w:hAnsi="Cambria" w:cs="Times New Roman"/>
          <w:sz w:val="24"/>
          <w:szCs w:val="24"/>
        </w:rPr>
        <w:t xml:space="preserve">the Puelicher Center on Banking at the University of Wisconsin, will convene a conference in Cambridge on </w:t>
      </w:r>
      <w:r w:rsidR="009508A6">
        <w:rPr>
          <w:rFonts w:ascii="Cambria" w:eastAsia="MS Mincho" w:hAnsi="Cambria" w:cs="Times New Roman"/>
          <w:sz w:val="24"/>
          <w:szCs w:val="24"/>
        </w:rPr>
        <w:t>April 17-18</w:t>
      </w:r>
      <w:r w:rsidR="00AC5F72">
        <w:rPr>
          <w:rFonts w:ascii="Cambria" w:eastAsia="MS Mincho" w:hAnsi="Cambria" w:cs="Times New Roman"/>
          <w:sz w:val="24"/>
          <w:szCs w:val="24"/>
        </w:rPr>
        <w:t>, 20</w:t>
      </w:r>
      <w:r w:rsidR="009508A6">
        <w:rPr>
          <w:rFonts w:ascii="Cambria" w:eastAsia="MS Mincho" w:hAnsi="Cambria" w:cs="Times New Roman"/>
          <w:sz w:val="24"/>
          <w:szCs w:val="24"/>
        </w:rPr>
        <w:t>20</w:t>
      </w:r>
      <w:r w:rsidR="00AC5F72">
        <w:rPr>
          <w:rFonts w:ascii="Cambria" w:eastAsia="MS Mincho" w:hAnsi="Cambria" w:cs="Times New Roman"/>
          <w:sz w:val="24"/>
          <w:szCs w:val="24"/>
        </w:rPr>
        <w:t xml:space="preserve">.  </w:t>
      </w:r>
      <w:r>
        <w:rPr>
          <w:rFonts w:ascii="Cambria" w:eastAsia="MS Mincho" w:hAnsi="Cambria" w:cs="Times New Roman"/>
          <w:sz w:val="24"/>
          <w:szCs w:val="24"/>
        </w:rPr>
        <w:t xml:space="preserve">The conference will be organized by </w:t>
      </w:r>
      <w:r w:rsidRPr="00DA5143">
        <w:rPr>
          <w:rFonts w:ascii="Cambria" w:eastAsia="MS Mincho" w:hAnsi="Cambria" w:cs="Times New Roman"/>
          <w:sz w:val="24"/>
          <w:szCs w:val="24"/>
        </w:rPr>
        <w:t>Dean Corbae</w:t>
      </w:r>
      <w:r>
        <w:rPr>
          <w:rFonts w:ascii="Cambria" w:eastAsia="MS Mincho" w:hAnsi="Cambria" w:cs="Times New Roman"/>
          <w:sz w:val="24"/>
          <w:szCs w:val="24"/>
        </w:rPr>
        <w:t xml:space="preserve"> (University of Wisconsin and NBER), </w:t>
      </w:r>
      <w:r w:rsidR="004924DF">
        <w:rPr>
          <w:rFonts w:ascii="Cambria" w:eastAsia="MS Mincho" w:hAnsi="Cambria" w:cs="Times New Roman"/>
          <w:sz w:val="24"/>
          <w:szCs w:val="24"/>
        </w:rPr>
        <w:t>Eduardo Davila (Yale</w:t>
      </w:r>
      <w:r w:rsidR="00340EDC">
        <w:rPr>
          <w:rFonts w:ascii="Cambria" w:eastAsia="MS Mincho" w:hAnsi="Cambria" w:cs="Times New Roman"/>
          <w:sz w:val="24"/>
          <w:szCs w:val="24"/>
        </w:rPr>
        <w:t xml:space="preserve"> and NBER</w:t>
      </w:r>
      <w:r w:rsidR="004924DF">
        <w:rPr>
          <w:rFonts w:ascii="Cambria" w:eastAsia="MS Mincho" w:hAnsi="Cambria" w:cs="Times New Roman"/>
          <w:sz w:val="24"/>
          <w:szCs w:val="24"/>
        </w:rPr>
        <w:t xml:space="preserve">), </w:t>
      </w:r>
      <w:r w:rsidRPr="00DA5143">
        <w:rPr>
          <w:rFonts w:ascii="Cambria" w:eastAsia="MS Mincho" w:hAnsi="Cambria" w:cs="Times New Roman"/>
          <w:sz w:val="24"/>
          <w:szCs w:val="24"/>
        </w:rPr>
        <w:t>Edward S. Prescott</w:t>
      </w:r>
      <w:r>
        <w:rPr>
          <w:rFonts w:ascii="Cambria" w:eastAsia="MS Mincho" w:hAnsi="Cambria" w:cs="Times New Roman"/>
          <w:sz w:val="24"/>
          <w:szCs w:val="24"/>
        </w:rPr>
        <w:t xml:space="preserve"> (Federal Reserve Bank of Cleveland), and </w:t>
      </w:r>
      <w:r w:rsidRPr="00DA5143">
        <w:rPr>
          <w:rFonts w:ascii="Cambria" w:eastAsia="MS Mincho" w:hAnsi="Cambria" w:cs="Times New Roman"/>
          <w:sz w:val="24"/>
          <w:szCs w:val="24"/>
        </w:rPr>
        <w:t>Robert Townsend</w:t>
      </w:r>
      <w:r>
        <w:rPr>
          <w:rFonts w:ascii="Cambria" w:eastAsia="MS Mincho" w:hAnsi="Cambria" w:cs="Times New Roman"/>
          <w:sz w:val="24"/>
          <w:szCs w:val="24"/>
        </w:rPr>
        <w:t xml:space="preserve"> (MIT and NBER).  The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workshop will draw together researchers from financial economics, industrial organization, contract theory,</w:t>
      </w:r>
      <w:r w:rsidR="006944A2">
        <w:rPr>
          <w:rFonts w:ascii="Cambria" w:eastAsia="MS Mincho" w:hAnsi="Cambria" w:cs="Times New Roman"/>
          <w:sz w:val="24"/>
          <w:szCs w:val="24"/>
        </w:rPr>
        <w:t xml:space="preserve"> public finance, </w:t>
      </w:r>
      <w:r w:rsidR="00DA6DFC">
        <w:rPr>
          <w:rFonts w:ascii="Cambria" w:eastAsia="MS Mincho" w:hAnsi="Cambria" w:cs="Times New Roman"/>
          <w:sz w:val="24"/>
          <w:szCs w:val="24"/>
        </w:rPr>
        <w:t xml:space="preserve">financial history,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and </w:t>
      </w:r>
      <w:r w:rsidR="00AC5F72" w:rsidRPr="00453B4D">
        <w:rPr>
          <w:rFonts w:ascii="Cambria" w:eastAsia="MS Mincho" w:hAnsi="Cambria" w:cs="Times New Roman"/>
          <w:sz w:val="24"/>
          <w:szCs w:val="24"/>
        </w:rPr>
        <w:t xml:space="preserve">macroeconomics to investigate how </w:t>
      </w:r>
      <w:r w:rsidR="009508A6">
        <w:rPr>
          <w:rFonts w:ascii="Cambria" w:eastAsia="MS Mincho" w:hAnsi="Cambria" w:cs="Times New Roman"/>
          <w:sz w:val="24"/>
          <w:szCs w:val="24"/>
        </w:rPr>
        <w:t xml:space="preserve">financial innovation, </w:t>
      </w:r>
      <w:r w:rsidR="00AC5F72" w:rsidRPr="00453B4D">
        <w:rPr>
          <w:rFonts w:ascii="Cambria" w:eastAsia="MS Mincho" w:hAnsi="Cambria" w:cs="Times New Roman"/>
          <w:sz w:val="24"/>
          <w:szCs w:val="24"/>
        </w:rPr>
        <w:t xml:space="preserve">asymmetric information, market liquidity, contracting imperfections, and other features of financial markets affect regulatory design and financial stability.  </w:t>
      </w:r>
      <w:r w:rsidR="00AB209C" w:rsidRPr="00453B4D">
        <w:rPr>
          <w:rFonts w:ascii="Cambria" w:hAnsi="Cambria" w:cs="Times New Roman"/>
          <w:sz w:val="24"/>
          <w:szCs w:val="24"/>
        </w:rPr>
        <w:t xml:space="preserve">Key goals are </w:t>
      </w:r>
      <w:r w:rsidR="00B443EB">
        <w:rPr>
          <w:rFonts w:ascii="Cambria" w:hAnsi="Cambria" w:cs="Times New Roman"/>
          <w:sz w:val="24"/>
          <w:szCs w:val="24"/>
        </w:rPr>
        <w:t xml:space="preserve">to </w:t>
      </w:r>
      <w:r w:rsidR="00AB209C" w:rsidRPr="00453B4D">
        <w:rPr>
          <w:rFonts w:ascii="Cambria" w:hAnsi="Cambria" w:cs="Times New Roman"/>
          <w:sz w:val="24"/>
          <w:szCs w:val="24"/>
        </w:rPr>
        <w:t xml:space="preserve">understand how </w:t>
      </w:r>
      <w:r>
        <w:rPr>
          <w:rFonts w:ascii="Cambria" w:hAnsi="Cambria" w:cs="Times New Roman"/>
          <w:sz w:val="24"/>
          <w:szCs w:val="24"/>
        </w:rPr>
        <w:t xml:space="preserve">various market frictions </w:t>
      </w:r>
      <w:r w:rsidR="00AB209C" w:rsidRPr="00453B4D">
        <w:rPr>
          <w:rFonts w:ascii="Cambria" w:hAnsi="Cambria" w:cs="Times New Roman"/>
          <w:sz w:val="24"/>
          <w:szCs w:val="24"/>
        </w:rPr>
        <w:t>int</w:t>
      </w:r>
      <w:r w:rsidR="00453B4D">
        <w:rPr>
          <w:rFonts w:ascii="Cambria" w:hAnsi="Cambria" w:cs="Times New Roman"/>
          <w:sz w:val="24"/>
          <w:szCs w:val="24"/>
        </w:rPr>
        <w:t>eract with existing regulations</w:t>
      </w:r>
      <w:r w:rsidR="00AB209C" w:rsidRPr="00453B4D">
        <w:rPr>
          <w:rFonts w:ascii="Cambria" w:hAnsi="Cambria" w:cs="Times New Roman"/>
          <w:sz w:val="24"/>
          <w:szCs w:val="24"/>
        </w:rPr>
        <w:t xml:space="preserve"> </w:t>
      </w:r>
      <w:r w:rsidR="00F2254E">
        <w:rPr>
          <w:rFonts w:ascii="Cambria" w:hAnsi="Cambria" w:cs="Times New Roman"/>
          <w:sz w:val="24"/>
          <w:szCs w:val="24"/>
        </w:rPr>
        <w:t xml:space="preserve">and </w:t>
      </w:r>
      <w:r w:rsidR="00B443EB">
        <w:rPr>
          <w:rFonts w:ascii="Cambria" w:hAnsi="Cambria" w:cs="Times New Roman"/>
          <w:sz w:val="24"/>
          <w:szCs w:val="24"/>
        </w:rPr>
        <w:t xml:space="preserve">to </w:t>
      </w:r>
      <w:r w:rsidR="00F2254E">
        <w:rPr>
          <w:rFonts w:ascii="Cambria" w:hAnsi="Cambria" w:cs="Times New Roman"/>
          <w:sz w:val="24"/>
          <w:szCs w:val="24"/>
        </w:rPr>
        <w:t>explor</w:t>
      </w:r>
      <w:r w:rsidR="00B443EB">
        <w:rPr>
          <w:rFonts w:ascii="Cambria" w:hAnsi="Cambria" w:cs="Times New Roman"/>
          <w:sz w:val="24"/>
          <w:szCs w:val="24"/>
        </w:rPr>
        <w:t>e</w:t>
      </w:r>
      <w:r w:rsidR="00F2254E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the efficiency and other properties of </w:t>
      </w:r>
      <w:r w:rsidR="00F2254E">
        <w:rPr>
          <w:rFonts w:ascii="Cambria" w:hAnsi="Cambria" w:cs="Times New Roman"/>
          <w:sz w:val="24"/>
          <w:szCs w:val="24"/>
        </w:rPr>
        <w:t>alternative designs</w:t>
      </w:r>
      <w:r w:rsidR="00AB209C" w:rsidRPr="00453B4D">
        <w:rPr>
          <w:rFonts w:ascii="Cambria" w:hAnsi="Cambria" w:cs="Times New Roman"/>
          <w:sz w:val="24"/>
          <w:szCs w:val="24"/>
        </w:rPr>
        <w:t>.</w:t>
      </w:r>
      <w:r w:rsidR="000B4191">
        <w:rPr>
          <w:rFonts w:ascii="Cambria" w:hAnsi="Cambria" w:cs="Times New Roman"/>
          <w:sz w:val="24"/>
          <w:szCs w:val="24"/>
        </w:rPr>
        <w:br/>
      </w:r>
      <w:r w:rsidR="000B4191">
        <w:rPr>
          <w:rFonts w:ascii="Cambria" w:hAnsi="Cambria" w:cs="Times New Roman"/>
          <w:sz w:val="24"/>
          <w:szCs w:val="24"/>
        </w:rPr>
        <w:br/>
      </w:r>
      <w:r>
        <w:rPr>
          <w:rFonts w:ascii="Cambria" w:eastAsia="MS Mincho" w:hAnsi="Cambria" w:cs="Times New Roman"/>
          <w:sz w:val="24"/>
          <w:szCs w:val="24"/>
        </w:rPr>
        <w:t>Issues that may be addressed at this workshop include, but are not limited to:</w:t>
      </w:r>
      <w:r w:rsidR="00AC5F72">
        <w:rPr>
          <w:rFonts w:ascii="Cambria" w:eastAsia="MS Mincho" w:hAnsi="Cambria" w:cs="Times New Roman"/>
          <w:sz w:val="24"/>
          <w:szCs w:val="24"/>
        </w:rPr>
        <w:t xml:space="preserve"> 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The operation of credit and insurance markets with adverse selection, moral hazard, and other information problems.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The effect of competition among banks on the </w:t>
      </w:r>
      <w:r>
        <w:rPr>
          <w:rFonts w:ascii="Cambria" w:eastAsia="MS Mincho" w:hAnsi="Cambria" w:cs="Times New Roman"/>
          <w:sz w:val="24"/>
          <w:szCs w:val="24"/>
        </w:rPr>
        <w:t xml:space="preserve">stability of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lending markets and on the efficacy of regulatory changes in affecting credit access for households and firms.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The role of networks and “financial supply chains” in connecting banks, other financial institutions, and firms that rely on short-term loans to conduct their business activities. 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The pricing of liquidity risk and the role of capital requirements such as those embodied in Basel III in affecting the equilibrium provision of liquidity.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proofErr w:type="gramStart"/>
      <w:r w:rsidR="00AC5F7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The</w:t>
      </w:r>
      <w:proofErr w:type="gramEnd"/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 design of disclosure regulation</w:t>
      </w:r>
      <w:r>
        <w:rPr>
          <w:rFonts w:ascii="Cambria" w:eastAsia="MS Mincho" w:hAnsi="Cambria" w:cs="Times New Roman"/>
          <w:sz w:val="24"/>
          <w:szCs w:val="24"/>
        </w:rPr>
        <w:t xml:space="preserve">, such as mandates for information reports on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portfolio holdings and risk exposures to regulators and market participants</w:t>
      </w:r>
      <w:r>
        <w:rPr>
          <w:rFonts w:ascii="Cambria" w:eastAsia="MS Mincho" w:hAnsi="Cambria" w:cs="Times New Roman"/>
          <w:sz w:val="24"/>
          <w:szCs w:val="24"/>
        </w:rPr>
        <w:t xml:space="preserve">,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publicly-disclosed stress testing, and other regulatory constructs. 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The impact of e-commerce and digital currencies on the efficacy of traditional financial regulations, and the design of regulation for these emerging financial technologies.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The importance of, and consequences of, competition and regulatory arbitrage between banks and non-bank financial institutions, such as money-market mutual funds, that are regulated under different regimes but serve overlapping market needs.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B711DB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95018">
        <w:rPr>
          <w:rFonts w:ascii="Cambria" w:eastAsia="MS Mincho" w:hAnsi="Cambria" w:cs="Times New Roman"/>
          <w:sz w:val="24"/>
          <w:szCs w:val="24"/>
        </w:rPr>
        <w:t>The impact of f</w:t>
      </w:r>
      <w:r w:rsidR="00B711DB">
        <w:rPr>
          <w:rFonts w:ascii="Cambria" w:eastAsia="MS Mincho" w:hAnsi="Cambria" w:cs="Times New Roman"/>
          <w:sz w:val="24"/>
          <w:szCs w:val="24"/>
        </w:rPr>
        <w:t>inancial innovation</w:t>
      </w:r>
      <w:r w:rsidR="00A95018">
        <w:rPr>
          <w:rFonts w:ascii="Cambria" w:eastAsia="MS Mincho" w:hAnsi="Cambria" w:cs="Times New Roman"/>
          <w:sz w:val="24"/>
          <w:szCs w:val="24"/>
        </w:rPr>
        <w:t xml:space="preserve"> and</w:t>
      </w:r>
      <w:r w:rsidR="00B711DB">
        <w:rPr>
          <w:rFonts w:ascii="Cambria" w:eastAsia="MS Mincho" w:hAnsi="Cambria" w:cs="Times New Roman"/>
          <w:sz w:val="24"/>
          <w:szCs w:val="24"/>
        </w:rPr>
        <w:t xml:space="preserve"> regulation</w:t>
      </w:r>
      <w:r w:rsidR="00A95018">
        <w:rPr>
          <w:rFonts w:ascii="Cambria" w:eastAsia="MS Mincho" w:hAnsi="Cambria" w:cs="Times New Roman"/>
          <w:sz w:val="24"/>
          <w:szCs w:val="24"/>
        </w:rPr>
        <w:t xml:space="preserve"> on the productivity of </w:t>
      </w:r>
      <w:r w:rsidR="00593CDB">
        <w:rPr>
          <w:rFonts w:ascii="Cambria" w:eastAsia="MS Mincho" w:hAnsi="Cambria" w:cs="Times New Roman"/>
          <w:sz w:val="24"/>
          <w:szCs w:val="24"/>
        </w:rPr>
        <w:t xml:space="preserve">financial institutions and the </w:t>
      </w:r>
      <w:r w:rsidR="00E675B3">
        <w:rPr>
          <w:rFonts w:ascii="Cambria" w:eastAsia="MS Mincho" w:hAnsi="Cambria" w:cs="Times New Roman"/>
          <w:sz w:val="24"/>
          <w:szCs w:val="24"/>
        </w:rPr>
        <w:t>financial system</w:t>
      </w:r>
      <w:r>
        <w:rPr>
          <w:rFonts w:ascii="Cambria" w:eastAsia="MS Mincho" w:hAnsi="Cambria" w:cs="Times New Roman"/>
          <w:sz w:val="24"/>
          <w:szCs w:val="24"/>
        </w:rPr>
        <w:t xml:space="preserve">.  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B711DB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E675B3">
        <w:rPr>
          <w:rFonts w:ascii="Cambria" w:eastAsia="MS Mincho" w:hAnsi="Cambria" w:cs="Times New Roman"/>
          <w:sz w:val="24"/>
          <w:szCs w:val="24"/>
        </w:rPr>
        <w:t>The impact of</w:t>
      </w:r>
      <w:r w:rsidR="00A95018">
        <w:rPr>
          <w:rFonts w:ascii="Cambria" w:eastAsia="MS Mincho" w:hAnsi="Cambria" w:cs="Times New Roman"/>
          <w:sz w:val="24"/>
          <w:szCs w:val="24"/>
        </w:rPr>
        <w:t xml:space="preserve"> financial innovation and regulat</w:t>
      </w:r>
      <w:r>
        <w:rPr>
          <w:rFonts w:ascii="Cambria" w:eastAsia="MS Mincho" w:hAnsi="Cambria" w:cs="Times New Roman"/>
          <w:sz w:val="24"/>
          <w:szCs w:val="24"/>
        </w:rPr>
        <w:t xml:space="preserve">ory policy </w:t>
      </w:r>
      <w:r w:rsidR="00E675B3">
        <w:rPr>
          <w:rFonts w:ascii="Cambria" w:eastAsia="MS Mincho" w:hAnsi="Cambria" w:cs="Times New Roman"/>
          <w:sz w:val="24"/>
          <w:szCs w:val="24"/>
        </w:rPr>
        <w:t>on</w:t>
      </w:r>
      <w:r w:rsidR="00A95018">
        <w:rPr>
          <w:rFonts w:ascii="Cambria" w:eastAsia="MS Mincho" w:hAnsi="Cambria" w:cs="Times New Roman"/>
          <w:sz w:val="24"/>
          <w:szCs w:val="24"/>
        </w:rPr>
        <w:t xml:space="preserve"> m</w:t>
      </w:r>
      <w:r w:rsidR="00B711DB">
        <w:rPr>
          <w:rFonts w:ascii="Cambria" w:eastAsia="MS Mincho" w:hAnsi="Cambria" w:cs="Times New Roman"/>
          <w:sz w:val="24"/>
          <w:szCs w:val="24"/>
        </w:rPr>
        <w:t>acroeconomic and financial stability</w:t>
      </w:r>
      <w:r>
        <w:rPr>
          <w:rFonts w:ascii="Cambria" w:eastAsia="MS Mincho" w:hAnsi="Cambria" w:cs="Times New Roman"/>
          <w:sz w:val="24"/>
          <w:szCs w:val="24"/>
        </w:rPr>
        <w:t>, the internal</w:t>
      </w:r>
      <w:r w:rsidR="00E675B3">
        <w:rPr>
          <w:rFonts w:ascii="Cambria" w:eastAsia="MS Mincho" w:hAnsi="Cambria" w:cs="Times New Roman"/>
          <w:sz w:val="24"/>
          <w:szCs w:val="24"/>
        </w:rPr>
        <w:t xml:space="preserve"> organization of financial firms</w:t>
      </w:r>
      <w:r>
        <w:rPr>
          <w:rFonts w:ascii="Cambria" w:eastAsia="MS Mincho" w:hAnsi="Cambria" w:cs="Times New Roman"/>
          <w:sz w:val="24"/>
          <w:szCs w:val="24"/>
        </w:rPr>
        <w:t xml:space="preserve">, and the </w:t>
      </w:r>
      <w:r w:rsidR="00E675B3">
        <w:rPr>
          <w:rFonts w:ascii="Cambria" w:eastAsia="MS Mincho" w:hAnsi="Cambria" w:cs="Times New Roman"/>
          <w:sz w:val="24"/>
          <w:szCs w:val="24"/>
        </w:rPr>
        <w:t>structure of the financial industry.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proofErr w:type="gramStart"/>
      <w:r w:rsidR="00DA6DFC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DA6DFC">
        <w:rPr>
          <w:rFonts w:ascii="Cambria" w:eastAsia="MS Mincho" w:hAnsi="Cambria" w:cs="Times New Roman"/>
          <w:sz w:val="24"/>
          <w:szCs w:val="24"/>
        </w:rPr>
        <w:t>Lessons</w:t>
      </w:r>
      <w:proofErr w:type="gramEnd"/>
      <w:r w:rsidR="00DA6DFC">
        <w:rPr>
          <w:rFonts w:ascii="Cambria" w:eastAsia="MS Mincho" w:hAnsi="Cambria" w:cs="Times New Roman"/>
          <w:sz w:val="24"/>
          <w:szCs w:val="24"/>
        </w:rPr>
        <w:t xml:space="preserve"> from financial history </w:t>
      </w:r>
      <w:r>
        <w:rPr>
          <w:rFonts w:ascii="Cambria" w:eastAsia="MS Mincho" w:hAnsi="Cambria" w:cs="Times New Roman"/>
          <w:sz w:val="24"/>
          <w:szCs w:val="24"/>
        </w:rPr>
        <w:t xml:space="preserve">about the impact of financial innovation on regulatory policy and market performance more generally.  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6944A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>
        <w:rPr>
          <w:rFonts w:ascii="Cambria" w:eastAsia="MS Mincho" w:hAnsi="Cambria" w:cs="Times New Roman"/>
          <w:sz w:val="24"/>
          <w:szCs w:val="24"/>
        </w:rPr>
        <w:t>The role of credit policies and financial regulations in complementing taxes and transfer programs to achieve both efficiency and distributional goals.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lastRenderedPageBreak/>
        <w:t xml:space="preserve">The </w:t>
      </w:r>
      <w:r w:rsidR="001155E3">
        <w:rPr>
          <w:rFonts w:ascii="Cambria" w:eastAsia="MS Mincho" w:hAnsi="Cambria" w:cs="Times New Roman"/>
          <w:sz w:val="24"/>
          <w:szCs w:val="24"/>
        </w:rPr>
        <w:t xml:space="preserve">conference will begin in the early afternoon on Thursday, </w:t>
      </w:r>
      <w:r w:rsidR="00EC0D6F">
        <w:rPr>
          <w:rFonts w:ascii="Cambria" w:eastAsia="MS Mincho" w:hAnsi="Cambria" w:cs="Times New Roman"/>
          <w:sz w:val="24"/>
          <w:szCs w:val="24"/>
        </w:rPr>
        <w:t>April 17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, 20</w:t>
      </w:r>
      <w:r w:rsidR="00EC0D6F">
        <w:rPr>
          <w:rFonts w:ascii="Cambria" w:eastAsia="MS Mincho" w:hAnsi="Cambria" w:cs="Times New Roman"/>
          <w:sz w:val="24"/>
          <w:szCs w:val="24"/>
        </w:rPr>
        <w:t>20</w:t>
      </w:r>
      <w:r w:rsidR="001155E3">
        <w:rPr>
          <w:rFonts w:ascii="Cambria" w:eastAsia="MS Mincho" w:hAnsi="Cambria" w:cs="Times New Roman"/>
          <w:sz w:val="24"/>
          <w:szCs w:val="24"/>
        </w:rPr>
        <w:t>.  There will be a conference dinner that evening with a keynote address by Dr.</w:t>
      </w:r>
      <w:r w:rsidR="00EC0D6F">
        <w:rPr>
          <w:rFonts w:ascii="Cambria" w:eastAsia="MS Mincho" w:hAnsi="Cambria" w:cs="Times New Roman"/>
          <w:sz w:val="24"/>
          <w:szCs w:val="24"/>
        </w:rPr>
        <w:t xml:space="preserve"> Loretta Mester, President of the Federal Reserve Bank of Cleveland. </w:t>
      </w:r>
      <w:r w:rsidR="001155E3">
        <w:rPr>
          <w:rFonts w:ascii="Cambria" w:eastAsia="MS Mincho" w:hAnsi="Cambria" w:cs="Times New Roman"/>
          <w:sz w:val="24"/>
          <w:szCs w:val="24"/>
        </w:rPr>
        <w:t xml:space="preserve"> On Friday April 18, a series of paper presentations will be complemented by one or more panel discussions that will address issues related to the conference theme.  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The </w:t>
      </w:r>
      <w:r w:rsidR="001155E3">
        <w:rPr>
          <w:rFonts w:ascii="Cambria" w:eastAsia="MS Mincho" w:hAnsi="Cambria" w:cs="Times New Roman"/>
          <w:sz w:val="24"/>
          <w:szCs w:val="24"/>
        </w:rPr>
        <w:t xml:space="preserve">organizers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welcome both empirical and theoretical research</w:t>
      </w:r>
      <w:r w:rsidR="001155E3">
        <w:rPr>
          <w:rFonts w:ascii="Cambria" w:eastAsia="MS Mincho" w:hAnsi="Cambria" w:cs="Times New Roman"/>
          <w:sz w:val="24"/>
          <w:szCs w:val="24"/>
        </w:rPr>
        <w:t>, papers by researchers with and without NBER affiliations, and submissions from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 scholars who are early in their careers</w:t>
      </w:r>
      <w:r w:rsidR="001155E3">
        <w:rPr>
          <w:rFonts w:ascii="Cambria" w:eastAsia="MS Mincho" w:hAnsi="Cambria" w:cs="Times New Roman"/>
          <w:sz w:val="24"/>
          <w:szCs w:val="24"/>
        </w:rPr>
        <w:t xml:space="preserve">, and who are members of groups that are under-represented in the economics and finance professions.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To be considered for inclusion on the program, papers must be uploaded by </w:t>
      </w:r>
      <w:r w:rsidR="00A21EDA">
        <w:rPr>
          <w:rFonts w:ascii="Cambria" w:eastAsia="MS Mincho" w:hAnsi="Cambria" w:cs="Times New Roman"/>
          <w:sz w:val="24"/>
          <w:szCs w:val="24"/>
        </w:rPr>
        <w:t xml:space="preserve">December </w:t>
      </w:r>
      <w:r w:rsidR="005E14D8">
        <w:rPr>
          <w:rFonts w:ascii="Cambria" w:eastAsia="MS Mincho" w:hAnsi="Cambria" w:cs="Times New Roman"/>
          <w:sz w:val="24"/>
          <w:szCs w:val="24"/>
        </w:rPr>
        <w:t xml:space="preserve">30, </w:t>
      </w:r>
      <w:r w:rsidR="00A21EDA">
        <w:rPr>
          <w:rFonts w:ascii="Cambria" w:eastAsia="MS Mincho" w:hAnsi="Cambria" w:cs="Times New Roman"/>
          <w:sz w:val="24"/>
          <w:szCs w:val="24"/>
        </w:rPr>
        <w:t>2020</w:t>
      </w:r>
      <w:r w:rsidR="00721749">
        <w:rPr>
          <w:rFonts w:ascii="Cambria" w:eastAsia="MS Mincho" w:hAnsi="Cambria" w:cs="Times New Roman"/>
          <w:sz w:val="24"/>
          <w:szCs w:val="24"/>
        </w:rPr>
        <w:t xml:space="preserve">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to the following site: 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hyperlink r:id="rId6" w:history="1">
        <w:r w:rsidR="000B4191">
          <w:rPr>
            <w:rStyle w:val="Hyperlink"/>
          </w:rPr>
          <w:t>http://papers.nber.org/confsubmit/backend/cfp?id=FIRs20</w:t>
        </w:r>
      </w:hyperlink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Please do not submit papers that will be published by </w:t>
      </w:r>
      <w:r w:rsidR="00A21EDA">
        <w:rPr>
          <w:rFonts w:ascii="Cambria" w:eastAsia="MS Mincho" w:hAnsi="Cambria" w:cs="Times New Roman"/>
          <w:sz w:val="24"/>
          <w:szCs w:val="24"/>
        </w:rPr>
        <w:t xml:space="preserve">April </w:t>
      </w:r>
      <w:r w:rsidR="00721749">
        <w:rPr>
          <w:rFonts w:ascii="Cambria" w:eastAsia="MS Mincho" w:hAnsi="Cambria" w:cs="Times New Roman"/>
          <w:sz w:val="24"/>
          <w:szCs w:val="24"/>
        </w:rPr>
        <w:t>20</w:t>
      </w:r>
      <w:r w:rsidR="00A21EDA">
        <w:rPr>
          <w:rFonts w:ascii="Cambria" w:eastAsia="MS Mincho" w:hAnsi="Cambria" w:cs="Times New Roman"/>
          <w:sz w:val="24"/>
          <w:szCs w:val="24"/>
        </w:rPr>
        <w:t>20</w:t>
      </w:r>
      <w:r w:rsidR="00721749">
        <w:rPr>
          <w:rFonts w:ascii="Cambria" w:eastAsia="MS Mincho" w:hAnsi="Cambria" w:cs="Times New Roman"/>
          <w:sz w:val="24"/>
          <w:szCs w:val="24"/>
        </w:rPr>
        <w:t xml:space="preserve">.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Authors chosen to present papers will be notified in </w:t>
      </w:r>
      <w:r w:rsidR="001155E3">
        <w:rPr>
          <w:rFonts w:ascii="Cambria" w:eastAsia="MS Mincho" w:hAnsi="Cambria" w:cs="Times New Roman"/>
          <w:sz w:val="24"/>
          <w:szCs w:val="24"/>
        </w:rPr>
        <w:t xml:space="preserve">January, </w:t>
      </w:r>
      <w:r w:rsidR="00721749">
        <w:rPr>
          <w:rFonts w:ascii="Cambria" w:eastAsia="MS Mincho" w:hAnsi="Cambria" w:cs="Times New Roman"/>
          <w:sz w:val="24"/>
          <w:szCs w:val="24"/>
        </w:rPr>
        <w:t>20</w:t>
      </w:r>
      <w:r w:rsidR="00A21EDA">
        <w:rPr>
          <w:rFonts w:ascii="Cambria" w:eastAsia="MS Mincho" w:hAnsi="Cambria" w:cs="Times New Roman"/>
          <w:sz w:val="24"/>
          <w:szCs w:val="24"/>
        </w:rPr>
        <w:t>20</w:t>
      </w:r>
      <w:r w:rsidR="00721749">
        <w:rPr>
          <w:rFonts w:ascii="Cambria" w:eastAsia="MS Mincho" w:hAnsi="Cambria" w:cs="Times New Roman"/>
          <w:sz w:val="24"/>
          <w:szCs w:val="24"/>
        </w:rPr>
        <w:t xml:space="preserve">.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The NBER will</w:t>
      </w:r>
      <w:r w:rsidR="00721749">
        <w:rPr>
          <w:rFonts w:ascii="Cambria" w:eastAsia="MS Mincho" w:hAnsi="Cambria" w:cs="Times New Roman"/>
          <w:sz w:val="24"/>
          <w:szCs w:val="24"/>
        </w:rPr>
        <w:t xml:space="preserve"> cover the travel cost for one author per pape</w:t>
      </w:r>
      <w:r w:rsidR="001155E3">
        <w:rPr>
          <w:rFonts w:ascii="Cambria" w:eastAsia="MS Mincho" w:hAnsi="Cambria" w:cs="Times New Roman"/>
          <w:sz w:val="24"/>
          <w:szCs w:val="24"/>
        </w:rPr>
        <w:t>r and for invited discussants; others are welcome to attend at their own expense.  Questions about this conference may be addressed to confer@nber.org.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</w:p>
    <w:sectPr w:rsidR="00E17BFF" w:rsidRPr="0036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555"/>
    <w:multiLevelType w:val="hybridMultilevel"/>
    <w:tmpl w:val="E8FE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1396"/>
    <w:multiLevelType w:val="hybridMultilevel"/>
    <w:tmpl w:val="50D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301"/>
    <w:multiLevelType w:val="hybridMultilevel"/>
    <w:tmpl w:val="5A7A97C6"/>
    <w:lvl w:ilvl="0" w:tplc="54E8AC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7AFE"/>
    <w:multiLevelType w:val="hybridMultilevel"/>
    <w:tmpl w:val="8FB23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55291"/>
    <w:multiLevelType w:val="hybridMultilevel"/>
    <w:tmpl w:val="C8E0C1D2"/>
    <w:lvl w:ilvl="0" w:tplc="47FAA16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A5130"/>
    <w:multiLevelType w:val="hybridMultilevel"/>
    <w:tmpl w:val="D304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6B"/>
    <w:rsid w:val="00026B6B"/>
    <w:rsid w:val="000612F9"/>
    <w:rsid w:val="00080C18"/>
    <w:rsid w:val="000B2FAD"/>
    <w:rsid w:val="000B4191"/>
    <w:rsid w:val="000F5C10"/>
    <w:rsid w:val="001155E3"/>
    <w:rsid w:val="00116BE7"/>
    <w:rsid w:val="001E0520"/>
    <w:rsid w:val="001E6DB8"/>
    <w:rsid w:val="001F3EC9"/>
    <w:rsid w:val="00211752"/>
    <w:rsid w:val="00222EC0"/>
    <w:rsid w:val="002425FB"/>
    <w:rsid w:val="003254FF"/>
    <w:rsid w:val="00340EDC"/>
    <w:rsid w:val="0034206E"/>
    <w:rsid w:val="00347BB5"/>
    <w:rsid w:val="00364D9A"/>
    <w:rsid w:val="003B4621"/>
    <w:rsid w:val="00453B4D"/>
    <w:rsid w:val="00471876"/>
    <w:rsid w:val="0047204B"/>
    <w:rsid w:val="004924DF"/>
    <w:rsid w:val="004962DC"/>
    <w:rsid w:val="004A78B8"/>
    <w:rsid w:val="004C72AB"/>
    <w:rsid w:val="004D2F90"/>
    <w:rsid w:val="00500344"/>
    <w:rsid w:val="005446C6"/>
    <w:rsid w:val="00593CDB"/>
    <w:rsid w:val="005D3C4E"/>
    <w:rsid w:val="005E14D8"/>
    <w:rsid w:val="0060251C"/>
    <w:rsid w:val="00614993"/>
    <w:rsid w:val="00661377"/>
    <w:rsid w:val="00681458"/>
    <w:rsid w:val="00684AF2"/>
    <w:rsid w:val="006944A2"/>
    <w:rsid w:val="006F3433"/>
    <w:rsid w:val="00714D23"/>
    <w:rsid w:val="00721749"/>
    <w:rsid w:val="00736C5E"/>
    <w:rsid w:val="0074011D"/>
    <w:rsid w:val="007664C7"/>
    <w:rsid w:val="007C1CBA"/>
    <w:rsid w:val="008013C1"/>
    <w:rsid w:val="00802A2F"/>
    <w:rsid w:val="008706A2"/>
    <w:rsid w:val="00881785"/>
    <w:rsid w:val="008C696D"/>
    <w:rsid w:val="008D07AF"/>
    <w:rsid w:val="008F1F07"/>
    <w:rsid w:val="00904C75"/>
    <w:rsid w:val="009508A6"/>
    <w:rsid w:val="00962141"/>
    <w:rsid w:val="00971E20"/>
    <w:rsid w:val="00974D05"/>
    <w:rsid w:val="0098625E"/>
    <w:rsid w:val="009E4D10"/>
    <w:rsid w:val="009E5815"/>
    <w:rsid w:val="00A21EDA"/>
    <w:rsid w:val="00A95018"/>
    <w:rsid w:val="00AB209C"/>
    <w:rsid w:val="00AC5F72"/>
    <w:rsid w:val="00AC69F6"/>
    <w:rsid w:val="00AC7499"/>
    <w:rsid w:val="00B036D9"/>
    <w:rsid w:val="00B443EB"/>
    <w:rsid w:val="00B711DB"/>
    <w:rsid w:val="00BB014A"/>
    <w:rsid w:val="00BD02D7"/>
    <w:rsid w:val="00C17780"/>
    <w:rsid w:val="00CF2563"/>
    <w:rsid w:val="00D37DB7"/>
    <w:rsid w:val="00D63771"/>
    <w:rsid w:val="00D71F53"/>
    <w:rsid w:val="00D9546D"/>
    <w:rsid w:val="00D963EA"/>
    <w:rsid w:val="00DA5143"/>
    <w:rsid w:val="00DA6DFC"/>
    <w:rsid w:val="00E046CF"/>
    <w:rsid w:val="00E17BFF"/>
    <w:rsid w:val="00E47AD2"/>
    <w:rsid w:val="00E675B3"/>
    <w:rsid w:val="00E757C0"/>
    <w:rsid w:val="00EC0D6F"/>
    <w:rsid w:val="00ED1B91"/>
    <w:rsid w:val="00F2254E"/>
    <w:rsid w:val="00F26E27"/>
    <w:rsid w:val="00F30E2B"/>
    <w:rsid w:val="00F61B7D"/>
    <w:rsid w:val="00F84E7E"/>
    <w:rsid w:val="00F967B5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4927"/>
  <w15:chartTrackingRefBased/>
  <w15:docId w15:val="{BBC47F5D-00F2-43A6-A0F3-B7DA193E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B6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177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77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75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3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7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7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pers.nber.org/confsubmit/backend/cfp?id=FIRs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A05E-7003-4D85-9469-BF519B98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School of Business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Corbae</dc:creator>
  <cp:keywords/>
  <dc:description/>
  <cp:lastModifiedBy>Carl Beck</cp:lastModifiedBy>
  <cp:revision>2</cp:revision>
  <dcterms:created xsi:type="dcterms:W3CDTF">2019-11-06T16:58:00Z</dcterms:created>
  <dcterms:modified xsi:type="dcterms:W3CDTF">2019-11-06T16:58:00Z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429f8bf5-4300-4dc2-9bdf-eaca24f356e3</vt:lpwstr>
  </property>
</Properties>
</file>