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3962" w14:textId="2B2501E2" w:rsidR="00296747" w:rsidRDefault="00397173" w:rsidP="00BD4BC1">
      <w:bookmarkStart w:id="0" w:name="_GoBack"/>
      <w:bookmarkEnd w:id="0"/>
      <w:r>
        <w:t>F</w:t>
      </w:r>
      <w:r w:rsidR="00931970">
        <w:t xml:space="preserve">lickr, YouTube, Jamendo, Vimeo and </w:t>
      </w:r>
      <w:r w:rsidR="00F530AB">
        <w:t>Mixtr</w:t>
      </w:r>
      <w:r>
        <w:t xml:space="preserve"> </w:t>
      </w:r>
      <w:r w:rsidR="00B879A4">
        <w:t>consolidate</w:t>
      </w:r>
      <w:r>
        <w:t xml:space="preserve"> creative activity with immense soci</w:t>
      </w:r>
      <w:r w:rsidR="0003134E">
        <w:t>et</w:t>
      </w:r>
      <w:r>
        <w:t>al</w:t>
      </w:r>
      <w:r w:rsidRPr="003D4D73">
        <w:rPr>
          <w:rStyle w:val="FootnoteReference"/>
          <w:rFonts w:ascii="Cambria" w:hAnsi="Cambria"/>
        </w:rPr>
        <w:footnoteReference w:id="1"/>
      </w:r>
      <w:r>
        <w:t xml:space="preserve"> and economic value.</w:t>
      </w:r>
      <w:r w:rsidRPr="003D4D73">
        <w:rPr>
          <w:rStyle w:val="FootnoteReference"/>
          <w:rFonts w:ascii="Cambria" w:hAnsi="Cambria"/>
        </w:rPr>
        <w:footnoteReference w:id="2"/>
      </w:r>
      <w:r>
        <w:t xml:space="preserve"> This creative activity takes place via interactive engagement</w:t>
      </w:r>
      <w:r w:rsidR="00676560">
        <w:t>s</w:t>
      </w:r>
      <w:r>
        <w:t xml:space="preserve"> that </w:t>
      </w:r>
      <w:r w:rsidR="00676560">
        <w:t>are</w:t>
      </w:r>
      <w:r>
        <w:t xml:space="preserve"> anchored in individually contributed creative content. A rich regulating infrastructure supports these engagements, and includes content licenses that hold different prescriptions implemented as extensions or complements of </w:t>
      </w:r>
      <w:r w:rsidR="00363486">
        <w:t xml:space="preserve">the </w:t>
      </w:r>
      <w:r>
        <w:t>copyright</w:t>
      </w:r>
      <w:r w:rsidR="00363486">
        <w:t xml:space="preserve"> endowment</w:t>
      </w:r>
      <w:r>
        <w:t>.</w:t>
      </w:r>
      <w:r w:rsidRPr="003B3E9E">
        <w:rPr>
          <w:rStyle w:val="FootnoteReference"/>
        </w:rPr>
        <w:t xml:space="preserve"> </w:t>
      </w:r>
      <w:r>
        <w:rPr>
          <w:rStyle w:val="FootnoteReference"/>
        </w:rPr>
        <w:footnoteReference w:id="3"/>
      </w:r>
      <w:r>
        <w:t xml:space="preserve"> Each prescription embodies a particular </w:t>
      </w:r>
      <w:r>
        <w:rPr>
          <w:i/>
        </w:rPr>
        <w:t>ideology</w:t>
      </w:r>
      <w:r>
        <w:t xml:space="preserve"> about the socio-economic role of content and the subsequent assignment of rights</w:t>
      </w:r>
      <w:r w:rsidR="00262AEA">
        <w:t xml:space="preserve"> in it</w:t>
      </w:r>
      <w:r>
        <w:t xml:space="preserve">. For example, some licenses approximate a no-rights </w:t>
      </w:r>
      <w:r w:rsidR="00741CFF">
        <w:t>model (pubic domain approximations)</w:t>
      </w:r>
      <w:r w:rsidR="00F15B5B">
        <w:t xml:space="preserve">, </w:t>
      </w:r>
      <w:r>
        <w:t>others formulate different rights-held-in-common structures</w:t>
      </w:r>
      <w:r w:rsidR="00741CFF">
        <w:t xml:space="preserve"> (creative commons, GPLs)</w:t>
      </w:r>
      <w:r w:rsidR="00682BCF">
        <w:t xml:space="preserve">, </w:t>
      </w:r>
      <w:r>
        <w:t>the rest relay exclusive rights ownership</w:t>
      </w:r>
      <w:r w:rsidR="00741CFF">
        <w:t xml:space="preserve"> (Getty </w:t>
      </w:r>
      <w:r w:rsidR="00766D8C">
        <w:t>Images</w:t>
      </w:r>
      <w:r w:rsidR="00790EA8">
        <w:t>, YouTube partnership</w:t>
      </w:r>
      <w:r w:rsidR="00A567EC">
        <w:t xml:space="preserve">, </w:t>
      </w:r>
      <w:r w:rsidR="0088747A">
        <w:rPr>
          <w:i/>
        </w:rPr>
        <w:t>pro</w:t>
      </w:r>
      <w:r w:rsidR="00A567EC">
        <w:t xml:space="preserve"> licenses</w:t>
      </w:r>
      <w:r w:rsidR="00741CFF">
        <w:t>)</w:t>
      </w:r>
      <w:r>
        <w:t xml:space="preserve">. </w:t>
      </w:r>
      <w:r w:rsidR="006A4D36">
        <w:t xml:space="preserve">Although </w:t>
      </w:r>
      <w:r w:rsidR="006A4D36">
        <w:t>the actual performance of the different licenses is unclear</w:t>
      </w:r>
      <w:r w:rsidR="006A4D36">
        <w:t xml:space="preserve">, </w:t>
      </w:r>
      <w:r>
        <w:t xml:space="preserve">users of licenses take their efficacy on trust, </w:t>
      </w:r>
      <w:r w:rsidR="00AE6256">
        <w:t xml:space="preserve">and </w:t>
      </w:r>
      <w:r>
        <w:t>so do the licenses’ stewards and private</w:t>
      </w:r>
      <w:r w:rsidR="006A4D36">
        <w:t xml:space="preserve"> and public regulators</w:t>
      </w:r>
      <w:r>
        <w:t>.</w:t>
      </w:r>
      <w:r>
        <w:rPr>
          <w:rStyle w:val="FootnoteReference"/>
        </w:rPr>
        <w:footnoteReference w:id="4"/>
      </w:r>
      <w:r>
        <w:t xml:space="preserve"> </w:t>
      </w:r>
      <w:r w:rsidR="00741CFF">
        <w:t>Are the licenses</w:t>
      </w:r>
      <w:r w:rsidR="00C27DD7">
        <w:t xml:space="preserve"> </w:t>
      </w:r>
      <w:r w:rsidR="00741CFF">
        <w:t>optimally supporting online enterprises, and in exactly what way?</w:t>
      </w:r>
      <w:r w:rsidR="00EB79A8" w:rsidRPr="00EB79A8">
        <w:rPr>
          <w:rStyle w:val="FootnoteReference"/>
          <w:rFonts w:ascii="Cambria" w:hAnsi="Cambria"/>
        </w:rPr>
        <w:t xml:space="preserve"> </w:t>
      </w:r>
      <w:r w:rsidR="00EB79A8" w:rsidRPr="003D4D73">
        <w:rPr>
          <w:rStyle w:val="FootnoteReference"/>
          <w:rFonts w:ascii="Cambria" w:hAnsi="Cambria"/>
        </w:rPr>
        <w:footnoteReference w:id="5"/>
      </w:r>
      <w:r w:rsidR="00741CFF">
        <w:t xml:space="preserve"> An empirical assessment of the comparative efficacy of the existing licenses is the </w:t>
      </w:r>
      <w:r w:rsidR="000B27EE">
        <w:t>proposed project’ mission</w:t>
      </w:r>
      <w:r w:rsidR="00741CFF">
        <w:t>.</w:t>
      </w:r>
      <w:r w:rsidR="00EB79A8" w:rsidRPr="00EB79A8">
        <w:rPr>
          <w:rStyle w:val="FootnoteReference"/>
          <w:rFonts w:ascii="Cambria" w:hAnsi="Cambria"/>
        </w:rPr>
        <w:t xml:space="preserve"> </w:t>
      </w:r>
      <w:r w:rsidR="00EB79A8">
        <w:rPr>
          <w:rStyle w:val="FootnoteReference"/>
          <w:rFonts w:ascii="Cambria" w:hAnsi="Cambria"/>
        </w:rPr>
        <w:footnoteReference w:id="6"/>
      </w:r>
    </w:p>
    <w:p w14:paraId="308A4ABD" w14:textId="7C91ED09" w:rsidR="001A368F" w:rsidRDefault="000D4BB5" w:rsidP="00BD4BC1">
      <w:r>
        <w:t xml:space="preserve">The </w:t>
      </w:r>
      <w:r w:rsidR="00365B5A">
        <w:t>study’s</w:t>
      </w:r>
      <w:r>
        <w:t xml:space="preserve"> conjectures are about the comparative performance of the diff</w:t>
      </w:r>
      <w:r w:rsidR="00014646">
        <w:t>erent licenses</w:t>
      </w:r>
      <w:r w:rsidR="005E2960">
        <w:t xml:space="preserve"> in terms of </w:t>
      </w:r>
      <w:r w:rsidR="0062691E">
        <w:t xml:space="preserve">enterprise-specific parameterizations of </w:t>
      </w:r>
      <w:r>
        <w:t>three evaluation measures of creati</w:t>
      </w:r>
      <w:r w:rsidR="00365B5A">
        <w:t>ve enterprises</w:t>
      </w:r>
      <w:r w:rsidR="005E2960">
        <w:t>:</w:t>
      </w:r>
      <w:r w:rsidR="00D35902">
        <w:rPr>
          <w:rStyle w:val="FootnoteReference"/>
        </w:rPr>
        <w:footnoteReference w:id="7"/>
      </w:r>
      <w:r w:rsidR="005E2960">
        <w:t xml:space="preserve"> </w:t>
      </w:r>
      <w:r w:rsidR="0081462B">
        <w:lastRenderedPageBreak/>
        <w:t>standard</w:t>
      </w:r>
      <w:r w:rsidR="00E15686">
        <w:t xml:space="preserve"> </w:t>
      </w:r>
      <w:r w:rsidR="005E2960">
        <w:t>quality,</w:t>
      </w:r>
      <w:r w:rsidR="00201D7C">
        <w:rPr>
          <w:rStyle w:val="FootnoteReference"/>
        </w:rPr>
        <w:footnoteReference w:id="8"/>
      </w:r>
      <w:r w:rsidR="005E2960">
        <w:t xml:space="preserve"> creative generativity</w:t>
      </w:r>
      <w:r w:rsidR="00201D7C">
        <w:rPr>
          <w:rStyle w:val="FootnoteReference"/>
        </w:rPr>
        <w:footnoteReference w:id="9"/>
      </w:r>
      <w:r w:rsidR="005E2960">
        <w:t xml:space="preserve"> and </w:t>
      </w:r>
      <w:r w:rsidR="005E2960">
        <w:rPr>
          <w:i/>
        </w:rPr>
        <w:t>sociability</w:t>
      </w:r>
      <w:r w:rsidR="00365B5A">
        <w:t>.</w:t>
      </w:r>
      <w:r w:rsidR="00201D7C">
        <w:rPr>
          <w:rStyle w:val="FootnoteReference"/>
        </w:rPr>
        <w:footnoteReference w:id="10"/>
      </w:r>
      <w:r w:rsidR="0081462B">
        <w:t xml:space="preserve"> </w:t>
      </w:r>
      <w:r w:rsidR="00FF2C88">
        <w:t xml:space="preserve">For </w:t>
      </w:r>
      <w:r w:rsidR="00CE1C96">
        <w:t xml:space="preserve">image-based online enterprises, for </w:t>
      </w:r>
      <w:r w:rsidR="008F0C2E">
        <w:t>example</w:t>
      </w:r>
      <w:r w:rsidR="0081462B">
        <w:t xml:space="preserve">, </w:t>
      </w:r>
      <w:r w:rsidR="00733F28">
        <w:t xml:space="preserve">quality parameters </w:t>
      </w:r>
      <w:r w:rsidR="00FF2C88">
        <w:t xml:space="preserve">include </w:t>
      </w:r>
      <w:r w:rsidR="00FF2C88">
        <w:rPr>
          <w:rFonts w:ascii="Cambria" w:hAnsi="Cambria"/>
        </w:rPr>
        <w:t>focus, exposure,</w:t>
      </w:r>
      <w:r w:rsidR="00FF2C88" w:rsidRPr="003D4D73">
        <w:rPr>
          <w:rFonts w:ascii="Cambria" w:hAnsi="Cambria"/>
        </w:rPr>
        <w:t xml:space="preserve"> </w:t>
      </w:r>
      <w:r w:rsidR="00FF2C88" w:rsidRPr="003D4D73">
        <w:rPr>
          <w:rFonts w:ascii="Cambria" w:hAnsi="Cambria" w:cs="Times"/>
        </w:rPr>
        <w:t>multiple exp</w:t>
      </w:r>
      <w:r w:rsidR="00FF2C88">
        <w:rPr>
          <w:rFonts w:ascii="Cambria" w:hAnsi="Cambria" w:cs="Times"/>
        </w:rPr>
        <w:t xml:space="preserve">osure, sandwiching, panning, </w:t>
      </w:r>
      <w:r w:rsidR="00014646">
        <w:rPr>
          <w:rFonts w:ascii="Cambria" w:hAnsi="Cambria" w:cs="Times"/>
        </w:rPr>
        <w:t>cross-</w:t>
      </w:r>
      <w:r w:rsidR="00014646" w:rsidRPr="003D4D73">
        <w:rPr>
          <w:rFonts w:ascii="Cambria" w:hAnsi="Cambria" w:cs="Times"/>
        </w:rPr>
        <w:t>processing</w:t>
      </w:r>
      <w:r w:rsidR="00FF2C88" w:rsidRPr="003D4D73">
        <w:rPr>
          <w:rFonts w:ascii="Cambria" w:hAnsi="Cambria"/>
        </w:rPr>
        <w:t>, composition</w:t>
      </w:r>
      <w:r w:rsidR="00FF2C88">
        <w:rPr>
          <w:rFonts w:ascii="Cambria" w:hAnsi="Cambria"/>
        </w:rPr>
        <w:t xml:space="preserve">, contrast, </w:t>
      </w:r>
      <w:r w:rsidR="00FF2C88" w:rsidRPr="003D4D73">
        <w:rPr>
          <w:rFonts w:ascii="Cambria" w:hAnsi="Cambria"/>
        </w:rPr>
        <w:t>juxtaposition</w:t>
      </w:r>
      <w:r w:rsidR="00FF2C88">
        <w:rPr>
          <w:rFonts w:ascii="Cambria" w:hAnsi="Cambria"/>
        </w:rPr>
        <w:t>s, textures, coloring</w:t>
      </w:r>
      <w:r w:rsidR="00FF2C88" w:rsidRPr="003D4D73">
        <w:rPr>
          <w:rFonts w:ascii="Cambria" w:hAnsi="Cambria"/>
        </w:rPr>
        <w:t>,</w:t>
      </w:r>
      <w:r w:rsidR="00FF2C88">
        <w:rPr>
          <w:rFonts w:ascii="Cambria" w:hAnsi="Cambria"/>
        </w:rPr>
        <w:t xml:space="preserve"> originality, impact </w:t>
      </w:r>
      <w:r w:rsidR="00FF2C88" w:rsidRPr="003D4D73">
        <w:rPr>
          <w:rFonts w:ascii="Cambria" w:hAnsi="Cambria"/>
        </w:rPr>
        <w:t xml:space="preserve">and </w:t>
      </w:r>
      <w:r w:rsidR="00FF2C88" w:rsidRPr="003D4D73">
        <w:rPr>
          <w:rFonts w:ascii="Cambria" w:hAnsi="Cambria"/>
          <w:i/>
        </w:rPr>
        <w:t>story</w:t>
      </w:r>
      <w:r w:rsidR="00014646">
        <w:rPr>
          <w:rFonts w:ascii="Cambria" w:hAnsi="Cambria"/>
        </w:rPr>
        <w:t>;</w:t>
      </w:r>
      <w:r w:rsidR="00DB62F1">
        <w:rPr>
          <w:rFonts w:ascii="Cambria" w:hAnsi="Cambria"/>
        </w:rPr>
        <w:t xml:space="preserve"> </w:t>
      </w:r>
      <w:r w:rsidR="00014646" w:rsidRPr="00014646">
        <w:rPr>
          <w:rFonts w:ascii="Cambria" w:hAnsi="Cambria"/>
          <w:i/>
        </w:rPr>
        <w:t>sociability</w:t>
      </w:r>
      <w:r w:rsidR="00014646">
        <w:rPr>
          <w:rFonts w:ascii="Cambria" w:hAnsi="Cambria"/>
        </w:rPr>
        <w:t xml:space="preserve"> </w:t>
      </w:r>
      <w:r w:rsidR="00014646">
        <w:t xml:space="preserve">parameters include descriptors of the engagements’ </w:t>
      </w:r>
      <w:r w:rsidR="00014646">
        <w:rPr>
          <w:rFonts w:ascii="Cambria" w:hAnsi="Cambria"/>
        </w:rPr>
        <w:t xml:space="preserve">pattern, the engagement type, length (in time spent), topic, level, and of their participants’ type, role, geographical origin, and </w:t>
      </w:r>
      <w:r w:rsidR="00D41472">
        <w:rPr>
          <w:rFonts w:ascii="Cambria" w:hAnsi="Cambria"/>
        </w:rPr>
        <w:t xml:space="preserve">engagement </w:t>
      </w:r>
      <w:r w:rsidR="00014646">
        <w:rPr>
          <w:rFonts w:ascii="Cambria" w:hAnsi="Cambria"/>
        </w:rPr>
        <w:t>pattern</w:t>
      </w:r>
      <w:r w:rsidR="00D41472">
        <w:rPr>
          <w:rFonts w:ascii="Cambria" w:hAnsi="Cambria"/>
        </w:rPr>
        <w:t xml:space="preserve">; </w:t>
      </w:r>
      <w:r w:rsidR="00F85C2F">
        <w:rPr>
          <w:rFonts w:ascii="Cambria" w:hAnsi="Cambria"/>
        </w:rPr>
        <w:t xml:space="preserve">lastly, </w:t>
      </w:r>
      <w:r w:rsidR="00E34132">
        <w:rPr>
          <w:rFonts w:ascii="Cambria" w:hAnsi="Cambria"/>
        </w:rPr>
        <w:t xml:space="preserve">generativity </w:t>
      </w:r>
      <w:r w:rsidR="00D41472">
        <w:rPr>
          <w:rFonts w:ascii="Cambria" w:hAnsi="Cambria"/>
        </w:rPr>
        <w:t xml:space="preserve">parameters </w:t>
      </w:r>
      <w:r w:rsidR="00F85C2F">
        <w:rPr>
          <w:rFonts w:ascii="Cambria" w:hAnsi="Cambria"/>
        </w:rPr>
        <w:t xml:space="preserve">include </w:t>
      </w:r>
      <w:r w:rsidR="007456C9">
        <w:rPr>
          <w:rFonts w:ascii="Cambria" w:hAnsi="Cambria"/>
        </w:rPr>
        <w:t>image</w:t>
      </w:r>
      <w:r w:rsidR="00F85C2F">
        <w:rPr>
          <w:rFonts w:ascii="Cambria" w:hAnsi="Cambria"/>
        </w:rPr>
        <w:t xml:space="preserve"> </w:t>
      </w:r>
      <w:r w:rsidR="00F85C2F">
        <w:rPr>
          <w:rFonts w:ascii="Cambria" w:hAnsi="Cambria" w:cs="Times New Roman"/>
        </w:rPr>
        <w:t xml:space="preserve">viewing patterns, tagging, patterns of sharing to other applications and via email, patterns of linking to </w:t>
      </w:r>
      <w:r w:rsidR="007456C9">
        <w:rPr>
          <w:rFonts w:ascii="Cambria" w:hAnsi="Cambria" w:cs="Times New Roman"/>
        </w:rPr>
        <w:t>images</w:t>
      </w:r>
      <w:r w:rsidR="00F85C2F">
        <w:rPr>
          <w:rFonts w:ascii="Cambria" w:hAnsi="Cambria" w:cs="Times New Roman"/>
        </w:rPr>
        <w:t xml:space="preserve">, </w:t>
      </w:r>
      <w:r w:rsidR="00511B1A">
        <w:rPr>
          <w:rFonts w:ascii="Cambria" w:hAnsi="Cambria" w:cs="Times New Roman"/>
        </w:rPr>
        <w:t>patterns of inter-actor connectivity,</w:t>
      </w:r>
      <w:r w:rsidR="00511B1A">
        <w:rPr>
          <w:rStyle w:val="FootnoteReference"/>
          <w:rFonts w:ascii="Cambria" w:hAnsi="Cambria" w:cs="Times New Roman"/>
        </w:rPr>
        <w:footnoteReference w:id="11"/>
      </w:r>
      <w:r w:rsidR="00511B1A">
        <w:rPr>
          <w:rFonts w:ascii="Cambria" w:hAnsi="Cambria" w:cs="Times New Roman"/>
        </w:rPr>
        <w:t xml:space="preserve"> </w:t>
      </w:r>
      <w:r w:rsidR="000F36C4">
        <w:rPr>
          <w:rFonts w:ascii="Cambria" w:hAnsi="Cambria" w:cs="Times New Roman"/>
        </w:rPr>
        <w:t xml:space="preserve">and </w:t>
      </w:r>
      <w:r w:rsidR="00F85C2F">
        <w:rPr>
          <w:rFonts w:ascii="Cambria" w:hAnsi="Cambria" w:cs="Times New Roman"/>
        </w:rPr>
        <w:t>downloading patterns</w:t>
      </w:r>
      <w:r w:rsidR="007456C9">
        <w:rPr>
          <w:rFonts w:ascii="Cambria" w:hAnsi="Cambria" w:cs="Times New Roman"/>
        </w:rPr>
        <w:t>.</w:t>
      </w:r>
      <w:r w:rsidR="00797018">
        <w:t xml:space="preserve"> </w:t>
      </w:r>
      <w:r w:rsidR="00365B5A">
        <w:t>The hypotheses</w:t>
      </w:r>
      <w:r w:rsidR="000F36C4">
        <w:t xml:space="preserve"> then</w:t>
      </w:r>
      <w:r w:rsidR="00365B5A">
        <w:t xml:space="preserve"> </w:t>
      </w:r>
      <w:r w:rsidR="0062691E">
        <w:t>rely on</w:t>
      </w:r>
      <w:r w:rsidR="00365B5A">
        <w:t xml:space="preserve"> value typologies that </w:t>
      </w:r>
      <w:r w:rsidR="00EF661A">
        <w:t xml:space="preserve">produce </w:t>
      </w:r>
      <w:r w:rsidR="000F36C4">
        <w:t>weight-based scaling of the different</w:t>
      </w:r>
      <w:r w:rsidR="00EF661A">
        <w:t xml:space="preserve"> parameters</w:t>
      </w:r>
      <w:r w:rsidR="00683246">
        <w:t>.</w:t>
      </w:r>
      <w:r>
        <w:t xml:space="preserve"> </w:t>
      </w:r>
    </w:p>
    <w:p w14:paraId="7DA2BAE6" w14:textId="77777777" w:rsidR="001A368F" w:rsidRDefault="001A368F" w:rsidP="00BD4BC1"/>
    <w:p w14:paraId="4A354482" w14:textId="1DBCC638" w:rsidR="00296747" w:rsidRDefault="00EF382B" w:rsidP="00BD4BC1">
      <w:r>
        <w:t xml:space="preserve">Testing the hypotheses </w:t>
      </w:r>
      <w:r w:rsidR="001C1C97">
        <w:t>is made</w:t>
      </w:r>
      <w:r>
        <w:t xml:space="preserve"> possible by relying on</w:t>
      </w:r>
      <w:r w:rsidR="001C1C97">
        <w:t xml:space="preserve"> three data sources</w:t>
      </w:r>
      <w:r w:rsidR="001A368F">
        <w:t xml:space="preserve">. The </w:t>
      </w:r>
      <w:r w:rsidR="009F2EA3">
        <w:t>main</w:t>
      </w:r>
      <w:r w:rsidR="001A368F">
        <w:t xml:space="preserve"> source is</w:t>
      </w:r>
      <w:r w:rsidR="001C1C97">
        <w:t xml:space="preserve"> </w:t>
      </w:r>
      <w:r w:rsidR="009F2EA3">
        <w:t xml:space="preserve">the </w:t>
      </w:r>
      <w:r w:rsidR="003F5B77">
        <w:t xml:space="preserve">websites’ </w:t>
      </w:r>
      <w:r w:rsidR="00AF75D1">
        <w:t>data</w:t>
      </w:r>
      <w:r w:rsidR="003F5B77">
        <w:t xml:space="preserve">bases </w:t>
      </w:r>
      <w:r w:rsidR="001C1C97">
        <w:t xml:space="preserve">that </w:t>
      </w:r>
      <w:r w:rsidR="00AE1D8B">
        <w:t>store</w:t>
      </w:r>
      <w:r w:rsidR="001C1C97">
        <w:t xml:space="preserve"> data </w:t>
      </w:r>
      <w:r w:rsidR="001A368F">
        <w:t>about content engagement</w:t>
      </w:r>
      <w:r w:rsidR="001C1C97">
        <w:t>s</w:t>
      </w:r>
      <w:r w:rsidR="006562BD">
        <w:t xml:space="preserve"> that</w:t>
      </w:r>
      <w:r w:rsidR="00833E4E">
        <w:t>, from which I offer to draw</w:t>
      </w:r>
      <w:r w:rsidR="00833E4E" w:rsidRPr="00833E4E">
        <w:t xml:space="preserve"> </w:t>
      </w:r>
      <w:r w:rsidR="00833E4E">
        <w:t>a mapping license/parameter relationship using</w:t>
      </w:r>
      <w:r w:rsidR="00176810">
        <w:t xml:space="preserve"> s</w:t>
      </w:r>
      <w:r w:rsidR="00CF02D6">
        <w:t xml:space="preserve">inglehanded programmatic manipulation of the </w:t>
      </w:r>
      <w:r w:rsidR="00AF75D1">
        <w:t>application provider interfaces (APIs)</w:t>
      </w:r>
      <w:r w:rsidR="00733B62">
        <w:t xml:space="preserve">. The performance of the licenses </w:t>
      </w:r>
      <w:r w:rsidR="0042419A">
        <w:t>can</w:t>
      </w:r>
      <w:r w:rsidR="008B1CC9">
        <w:t xml:space="preserve"> then be</w:t>
      </w:r>
      <w:r w:rsidR="00733B62">
        <w:t xml:space="preserve"> analyzed</w:t>
      </w:r>
      <w:r w:rsidR="009A32EF">
        <w:t xml:space="preserve"> </w:t>
      </w:r>
      <w:r w:rsidR="0042419A">
        <w:t xml:space="preserve">using </w:t>
      </w:r>
      <w:r w:rsidR="00D849B0">
        <w:t>necessary</w:t>
      </w:r>
      <w:r w:rsidR="00733B62">
        <w:t xml:space="preserve"> controls </w:t>
      </w:r>
      <w:r w:rsidR="00A207F4">
        <w:t>based on external events and on</w:t>
      </w:r>
      <w:r w:rsidR="00733B62">
        <w:t xml:space="preserve"> the other two sources</w:t>
      </w:r>
      <w:r w:rsidR="00887C7B">
        <w:t>:</w:t>
      </w:r>
      <w:r w:rsidR="00733B62">
        <w:t xml:space="preserve"> </w:t>
      </w:r>
      <w:r w:rsidR="00887C7B">
        <w:t>A</w:t>
      </w:r>
      <w:r w:rsidR="008B1CC9">
        <w:t xml:space="preserve"> qualitative </w:t>
      </w:r>
      <w:r w:rsidR="008B1CC9" w:rsidRPr="00887C7B">
        <w:rPr>
          <w:i/>
        </w:rPr>
        <w:t>field</w:t>
      </w:r>
      <w:r w:rsidR="008B1CC9">
        <w:t xml:space="preserve"> study</w:t>
      </w:r>
      <w:r w:rsidR="00887C7B">
        <w:t xml:space="preserve"> among users throughout their content-based interactions</w:t>
      </w:r>
      <w:r w:rsidR="009A32EF">
        <w:t xml:space="preserve">, and a survey among </w:t>
      </w:r>
      <w:r w:rsidR="00E47D8F">
        <w:t>user and non-user</w:t>
      </w:r>
      <w:r w:rsidR="00C038F3">
        <w:t xml:space="preserve"> groups of the </w:t>
      </w:r>
      <w:r w:rsidR="008619C3">
        <w:t xml:space="preserve">same </w:t>
      </w:r>
      <w:r w:rsidR="00C038F3">
        <w:t>venue.</w:t>
      </w:r>
      <w:r w:rsidR="00641A17">
        <w:rPr>
          <w:rStyle w:val="FootnoteReference"/>
        </w:rPr>
        <w:footnoteReference w:id="12"/>
      </w:r>
      <w:r w:rsidR="00C038F3">
        <w:t xml:space="preserve"> </w:t>
      </w:r>
    </w:p>
    <w:p w14:paraId="379514AB" w14:textId="77777777" w:rsidR="00774311" w:rsidRDefault="00774311" w:rsidP="00BD4BC1"/>
    <w:p w14:paraId="4B3F866D" w14:textId="5B2B4E26" w:rsidR="00B841D5" w:rsidRDefault="00E3590A">
      <w:r>
        <w:t>D</w:t>
      </w:r>
      <w:r w:rsidR="00B312BE">
        <w:t>ivulge</w:t>
      </w:r>
      <w:r>
        <w:t>d</w:t>
      </w:r>
      <w:r w:rsidR="00114FB4">
        <w:t xml:space="preserve"> </w:t>
      </w:r>
      <w:r>
        <w:t xml:space="preserve">using those methods would be </w:t>
      </w:r>
      <w:r w:rsidR="00D2245E">
        <w:t>a</w:t>
      </w:r>
      <w:r w:rsidR="00EC465E">
        <w:t xml:space="preserve"> contextual </w:t>
      </w:r>
      <w:r w:rsidR="00D1038E">
        <w:t>comparative impact</w:t>
      </w:r>
      <w:r w:rsidR="00774311">
        <w:t xml:space="preserve"> of the license schemes against the backdrop of </w:t>
      </w:r>
      <w:r w:rsidR="00D1038E">
        <w:t>private and public</w:t>
      </w:r>
      <w:r w:rsidR="00774311">
        <w:t xml:space="preserve"> regulation of individually contributed online creative </w:t>
      </w:r>
      <w:r w:rsidR="00D1038E">
        <w:t>content.</w:t>
      </w:r>
      <w:r w:rsidR="00774311">
        <w:t xml:space="preserve"> </w:t>
      </w:r>
      <w:r w:rsidR="00416211">
        <w:t xml:space="preserve">Since the different licensing schemes </w:t>
      </w:r>
      <w:r w:rsidR="0011424E">
        <w:t>are, in fact,</w:t>
      </w:r>
      <w:r w:rsidR="00416211">
        <w:t xml:space="preserve"> different </w:t>
      </w:r>
      <w:r w:rsidR="0011424E">
        <w:t>intellectual property</w:t>
      </w:r>
      <w:r w:rsidR="00416211">
        <w:t xml:space="preserve"> </w:t>
      </w:r>
      <w:r w:rsidR="00416211">
        <w:rPr>
          <w:i/>
        </w:rPr>
        <w:t>tweaks</w:t>
      </w:r>
      <w:r w:rsidR="0011424E" w:rsidRPr="0011424E">
        <w:t>,</w:t>
      </w:r>
      <w:r w:rsidR="006B208C">
        <w:rPr>
          <w:rStyle w:val="FootnoteReference"/>
        </w:rPr>
        <w:footnoteReference w:id="13"/>
      </w:r>
      <w:r w:rsidR="0011424E">
        <w:rPr>
          <w:i/>
        </w:rPr>
        <w:t xml:space="preserve"> </w:t>
      </w:r>
      <w:r w:rsidR="00416211">
        <w:t>the</w:t>
      </w:r>
      <w:r w:rsidR="00133A5C">
        <w:t xml:space="preserve"> replication of the study in </w:t>
      </w:r>
      <w:r w:rsidR="00D2245E">
        <w:t>different</w:t>
      </w:r>
      <w:r w:rsidR="00133A5C">
        <w:t xml:space="preserve"> contexts (including in venues that are not hubs) </w:t>
      </w:r>
      <w:r w:rsidR="00D2245E">
        <w:t xml:space="preserve">would </w:t>
      </w:r>
      <w:r w:rsidR="00416211">
        <w:t>allow</w:t>
      </w:r>
      <w:r w:rsidR="00133A5C">
        <w:t xml:space="preserve"> </w:t>
      </w:r>
      <w:r w:rsidR="00B312BE">
        <w:t>policy recommendation</w:t>
      </w:r>
      <w:r w:rsidR="00133A5C">
        <w:t>s</w:t>
      </w:r>
      <w:r w:rsidR="00B312BE">
        <w:t xml:space="preserve"> about </w:t>
      </w:r>
      <w:r w:rsidR="00133A5C">
        <w:t xml:space="preserve">intellectual property </w:t>
      </w:r>
      <w:r w:rsidR="0011424E">
        <w:t>reform</w:t>
      </w:r>
      <w:r w:rsidR="00133A5C">
        <w:t>.</w:t>
      </w:r>
      <w:r w:rsidR="00B312BE">
        <w:t xml:space="preserve"> </w:t>
      </w:r>
    </w:p>
    <w:sectPr w:rsidR="00B841D5" w:rsidSect="002D099A">
      <w:headerReference w:type="default" r:id="rId8"/>
      <w:footerReference w:type="even" r:id="rId9"/>
      <w:footerReference w:type="default" r:id="rId10"/>
      <w:pgSz w:w="12240" w:h="15840"/>
      <w:pgMar w:top="1080" w:right="1080" w:bottom="1080" w:left="108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6BDF1" w14:textId="77777777" w:rsidR="006562BD" w:rsidRDefault="006562BD" w:rsidP="00BD4BC1">
      <w:pPr>
        <w:spacing w:line="240" w:lineRule="auto"/>
      </w:pPr>
      <w:r>
        <w:separator/>
      </w:r>
    </w:p>
  </w:endnote>
  <w:endnote w:type="continuationSeparator" w:id="0">
    <w:p w14:paraId="795EBA19" w14:textId="77777777" w:rsidR="006562BD" w:rsidRDefault="006562BD" w:rsidP="00BD4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Te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204A" w14:textId="77777777" w:rsidR="006562BD" w:rsidRDefault="006562BD" w:rsidP="000146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F5DE4E" w14:textId="77777777" w:rsidR="006562BD" w:rsidRDefault="006562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BE991" w14:textId="77777777" w:rsidR="006562BD" w:rsidRPr="00E0363E" w:rsidRDefault="006562BD" w:rsidP="00014646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E0363E">
      <w:rPr>
        <w:rStyle w:val="PageNumber"/>
        <w:sz w:val="20"/>
        <w:szCs w:val="20"/>
      </w:rPr>
      <w:fldChar w:fldCharType="begin"/>
    </w:r>
    <w:r w:rsidRPr="00E0363E">
      <w:rPr>
        <w:rStyle w:val="PageNumber"/>
        <w:sz w:val="20"/>
        <w:szCs w:val="20"/>
      </w:rPr>
      <w:instrText xml:space="preserve">PAGE  </w:instrText>
    </w:r>
    <w:r w:rsidRPr="00E0363E">
      <w:rPr>
        <w:rStyle w:val="PageNumber"/>
        <w:sz w:val="20"/>
        <w:szCs w:val="20"/>
      </w:rPr>
      <w:fldChar w:fldCharType="separate"/>
    </w:r>
    <w:r w:rsidR="002D099A">
      <w:rPr>
        <w:rStyle w:val="PageNumber"/>
        <w:noProof/>
        <w:sz w:val="20"/>
        <w:szCs w:val="20"/>
      </w:rPr>
      <w:t>1</w:t>
    </w:r>
    <w:r w:rsidRPr="00E0363E">
      <w:rPr>
        <w:rStyle w:val="PageNumber"/>
        <w:sz w:val="20"/>
        <w:szCs w:val="20"/>
      </w:rPr>
      <w:fldChar w:fldCharType="end"/>
    </w:r>
  </w:p>
  <w:p w14:paraId="529CE862" w14:textId="77777777" w:rsidR="006562BD" w:rsidRDefault="006562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4E620" w14:textId="77777777" w:rsidR="006562BD" w:rsidRDefault="006562BD" w:rsidP="00BD4BC1">
      <w:pPr>
        <w:spacing w:line="240" w:lineRule="auto"/>
      </w:pPr>
      <w:r>
        <w:separator/>
      </w:r>
    </w:p>
  </w:footnote>
  <w:footnote w:type="continuationSeparator" w:id="0">
    <w:p w14:paraId="432A1521" w14:textId="77777777" w:rsidR="006562BD" w:rsidRDefault="006562BD" w:rsidP="00BD4BC1">
      <w:pPr>
        <w:spacing w:line="240" w:lineRule="auto"/>
      </w:pPr>
      <w:r>
        <w:continuationSeparator/>
      </w:r>
    </w:p>
  </w:footnote>
  <w:footnote w:id="1">
    <w:p w14:paraId="1B189AC2" w14:textId="79F42CA9" w:rsidR="006562BD" w:rsidRPr="00334F89" w:rsidRDefault="006562BD" w:rsidP="00475E7F">
      <w:pPr>
        <w:pStyle w:val="FootnoteText"/>
      </w:pPr>
      <w:r w:rsidRPr="00897E2A">
        <w:rPr>
          <w:rStyle w:val="FootnoteReference"/>
        </w:rPr>
        <w:footnoteRef/>
      </w:r>
      <w:r w:rsidRPr="00897E2A">
        <w:t>Jankowski, Creati</w:t>
      </w:r>
      <w:r>
        <w:t xml:space="preserve">ve Community with Media, </w:t>
      </w:r>
      <w:r w:rsidRPr="00897E2A">
        <w:t xml:space="preserve">New Media and New Economy </w:t>
      </w:r>
      <w:r>
        <w:t xml:space="preserve">Cluster Dynamics, </w:t>
      </w:r>
      <w:r w:rsidRPr="00897E2A">
        <w:t>Verhulst, About Scarcities and Intermediaries: The Regulatory Paradigm Shift of Digit</w:t>
      </w:r>
      <w:r>
        <w:t xml:space="preserve">al Content Reviewed, </w:t>
      </w:r>
      <w:r w:rsidRPr="00061DED">
        <w:rPr>
          <w:i/>
        </w:rPr>
        <w:t>in</w:t>
      </w:r>
      <w:r>
        <w:t xml:space="preserve"> </w:t>
      </w:r>
      <w:r w:rsidRPr="00897E2A">
        <w:t>Livingstone &amp; Lievrouw</w:t>
      </w:r>
      <w:r>
        <w:t xml:space="preserve">, </w:t>
      </w:r>
      <w:r w:rsidRPr="00897E2A">
        <w:t>Handbook of New Media: Social Shaping and Consequences of ICTs</w:t>
      </w:r>
      <w:r>
        <w:t xml:space="preserve"> 2006 and </w:t>
      </w:r>
      <w:r w:rsidRPr="00525D16">
        <w:rPr>
          <w:rFonts w:cs="Times"/>
        </w:rPr>
        <w:t>Zhang and Zhu: Group Size and Incentives to Contribute, Ame</w:t>
      </w:r>
      <w:r>
        <w:rPr>
          <w:rFonts w:cs="Times"/>
        </w:rPr>
        <w:t>rican Economic Review 101,</w:t>
      </w:r>
      <w:r w:rsidRPr="00525D16">
        <w:rPr>
          <w:rFonts w:cs="Times"/>
        </w:rPr>
        <w:t xml:space="preserve"> 1601–1615</w:t>
      </w:r>
      <w:r w:rsidRPr="007F438A">
        <w:t xml:space="preserve"> </w:t>
      </w:r>
      <w:r>
        <w:t>2011.</w:t>
      </w:r>
    </w:p>
  </w:footnote>
  <w:footnote w:id="2">
    <w:p w14:paraId="19F5D148" w14:textId="0CE93B21" w:rsidR="006562BD" w:rsidRPr="00254333" w:rsidRDefault="006562BD" w:rsidP="00475E7F">
      <w:pPr>
        <w:pStyle w:val="FootnoteText"/>
      </w:pPr>
      <w:r w:rsidRPr="00BA0FAD">
        <w:rPr>
          <w:rStyle w:val="FootnoteReference"/>
        </w:rPr>
        <w:footnoteRef/>
      </w:r>
      <w:r w:rsidRPr="00BA0FAD">
        <w:t xml:space="preserve"> For content with direct or indirect market value or free. </w:t>
      </w:r>
      <w:r w:rsidRPr="00BA0FAD">
        <w:rPr>
          <w:i/>
        </w:rPr>
        <w:t>See e.g.</w:t>
      </w:r>
      <w:r w:rsidRPr="00BA0FAD">
        <w:t xml:space="preserve"> Zhu &amp; Sun, </w:t>
      </w:r>
      <w:r w:rsidRPr="00BA0FAD">
        <w:rPr>
          <w:rFonts w:eastAsia="Times New Roman"/>
        </w:rPr>
        <w:t>Ad Revenue and Content Commercialization: Evidence from Blogs, 2012, http://ssrn.com/abstract=1735696</w:t>
      </w:r>
      <w:r w:rsidRPr="00BA0FAD">
        <w:rPr>
          <w:rFonts w:cs="Times"/>
        </w:rPr>
        <w:t xml:space="preserve">, </w:t>
      </w:r>
      <w:r w:rsidRPr="00BA0FAD">
        <w:t xml:space="preserve">Arthur, B. 2011. “The Second Economy”, </w:t>
      </w:r>
      <w:r w:rsidRPr="00254333">
        <w:rPr>
          <w:rFonts w:cs="Times"/>
          <w:iCs/>
        </w:rPr>
        <w:t xml:space="preserve">McKinsey Quarterly, </w:t>
      </w:r>
      <w:r w:rsidRPr="00254333">
        <w:t>Goolsbee &amp; Klenow, “Valuing Consumer Products by the Time Spent Using</w:t>
      </w:r>
      <w:r w:rsidRPr="00254333">
        <w:rPr>
          <w:rFonts w:cs="Times"/>
        </w:rPr>
        <w:t xml:space="preserve"> </w:t>
      </w:r>
      <w:r w:rsidRPr="00254333">
        <w:t xml:space="preserve">Them: An Application to the Internet”, </w:t>
      </w:r>
      <w:r w:rsidRPr="00254333">
        <w:rPr>
          <w:rFonts w:cs="Times"/>
          <w:iCs/>
        </w:rPr>
        <w:t xml:space="preserve">American Economic Review, </w:t>
      </w:r>
      <w:r w:rsidRPr="00254333">
        <w:t>96, 2, 108-113, 2006, and Bresnahan, “</w:t>
      </w:r>
      <w:r w:rsidRPr="0002601E">
        <w:t xml:space="preserve">Measuring the Spillovers from Technical Advance Mainframe Computers in Financial Services”, </w:t>
      </w:r>
      <w:r>
        <w:t>AER</w:t>
      </w:r>
      <w:r w:rsidRPr="0002601E">
        <w:t>, 76,4, 742-755, 1986.</w:t>
      </w:r>
    </w:p>
  </w:footnote>
  <w:footnote w:id="3">
    <w:p w14:paraId="3C94EE7F" w14:textId="08122522" w:rsidR="006562BD" w:rsidRPr="006A2DD5" w:rsidRDefault="006562BD" w:rsidP="006A2DD5">
      <w:pPr>
        <w:pStyle w:val="FootnoteText"/>
        <w:rPr>
          <w:rFonts w:ascii="Times New Roman" w:hAnsi="Times New Roman" w:cs="Times New Roman"/>
          <w:sz w:val="30"/>
          <w:szCs w:val="30"/>
        </w:rPr>
      </w:pPr>
      <w:r w:rsidRPr="00897E2A">
        <w:rPr>
          <w:rStyle w:val="FootnoteReference"/>
        </w:rPr>
        <w:footnoteRef/>
      </w:r>
      <w:r w:rsidRPr="00897E2A">
        <w:t xml:space="preserve"> The regulatory environment </w:t>
      </w:r>
      <w:r>
        <w:t>includes</w:t>
      </w:r>
      <w:r w:rsidRPr="00897E2A">
        <w:t xml:space="preserve"> intellectual property, venue-specific technical constraints, quasi-legal guidelines and user standard practices and norms. </w:t>
      </w:r>
      <w:r>
        <w:t>About</w:t>
      </w:r>
      <w:r w:rsidRPr="00897E2A">
        <w:t xml:space="preserve"> the interplay with the other parts of the r</w:t>
      </w:r>
      <w:r>
        <w:t xml:space="preserve">egulatory environment </w:t>
      </w:r>
      <w:r>
        <w:rPr>
          <w:i/>
        </w:rPr>
        <w:t>see</w:t>
      </w:r>
      <w:r>
        <w:t xml:space="preserve"> Weber</w:t>
      </w:r>
      <w:r w:rsidRPr="00897E2A">
        <w:t>, The</w:t>
      </w:r>
      <w:r>
        <w:t xml:space="preserve"> Success of Open Source, 2004. Weber discusses this with respect to</w:t>
      </w:r>
      <w:r w:rsidRPr="00897E2A">
        <w:t xml:space="preserve"> open </w:t>
      </w:r>
      <w:r w:rsidRPr="006A2DD5">
        <w:t>source regulation. “Compatibility [with</w:t>
      </w:r>
      <w:r>
        <w:t xml:space="preserve"> the legal principles]</w:t>
      </w:r>
      <w:r w:rsidRPr="006A2DD5">
        <w:t xml:space="preserve"> at the points of contact allows the open source process to coevolve with these extant institutions” and James Grimmelmann, Regulation By Software, 114 </w:t>
      </w:r>
      <w:r>
        <w:t>Yale L</w:t>
      </w:r>
      <w:r w:rsidRPr="006A2DD5">
        <w:t>.J. 1719, 2005.</w:t>
      </w:r>
    </w:p>
  </w:footnote>
  <w:footnote w:id="4">
    <w:p w14:paraId="388E57E7" w14:textId="7976FB6F" w:rsidR="006562BD" w:rsidRPr="00897E2A" w:rsidRDefault="006562BD" w:rsidP="00475E7F">
      <w:pPr>
        <w:pStyle w:val="FootnoteText"/>
      </w:pPr>
      <w:r w:rsidRPr="00897E2A">
        <w:rPr>
          <w:rStyle w:val="FootnoteReference"/>
        </w:rPr>
        <w:footnoteRef/>
      </w:r>
      <w:r>
        <w:t xml:space="preserve"> R</w:t>
      </w:r>
      <w:r w:rsidRPr="00897E2A">
        <w:t xml:space="preserve">eliance </w:t>
      </w:r>
      <w:r>
        <w:t xml:space="preserve">is clearly not </w:t>
      </w:r>
      <w:r w:rsidRPr="00897E2A">
        <w:t xml:space="preserve">proof for </w:t>
      </w:r>
      <w:r>
        <w:t>a legal</w:t>
      </w:r>
      <w:r w:rsidRPr="00897E2A">
        <w:t xml:space="preserve"> tool’s efficacy. </w:t>
      </w:r>
      <w:r w:rsidRPr="00BB2028">
        <w:rPr>
          <w:i/>
        </w:rPr>
        <w:t>See</w:t>
      </w:r>
      <w:r w:rsidRPr="00897E2A">
        <w:t xml:space="preserve"> </w:t>
      </w:r>
      <w:r w:rsidRPr="00BB2028">
        <w:rPr>
          <w:i/>
        </w:rPr>
        <w:t>e.g.</w:t>
      </w:r>
      <w:r w:rsidRPr="00897E2A">
        <w:t xml:space="preserve"> </w:t>
      </w:r>
      <w:r>
        <w:t>Graham, Merges, Samuelson and Sichelman</w:t>
      </w:r>
      <w:r w:rsidRPr="00897E2A">
        <w:t>, High Technology Entr</w:t>
      </w:r>
      <w:r>
        <w:t>epreneurs and the Patent System, Berkeley Tech. L. J.</w:t>
      </w:r>
      <w:r w:rsidRPr="00897E2A">
        <w:t xml:space="preserve">, </w:t>
      </w:r>
      <w:r>
        <w:t>24, 4, 255-327, 2009:</w:t>
      </w:r>
      <w:r w:rsidRPr="00897E2A">
        <w:t xml:space="preserve"> </w:t>
      </w:r>
      <w:r>
        <w:t>This survey demonstrate that a</w:t>
      </w:r>
      <w:r w:rsidRPr="00897E2A">
        <w:t>lthough patents are widespread among software entrepreneurs, they are providing weak incentives for core activities in the innovation proce</w:t>
      </w:r>
      <w:r>
        <w:t>ss</w:t>
      </w:r>
      <w:r w:rsidRPr="00897E2A">
        <w:t xml:space="preserve">. </w:t>
      </w:r>
    </w:p>
  </w:footnote>
  <w:footnote w:id="5">
    <w:p w14:paraId="4BC1C0DD" w14:textId="3C532004" w:rsidR="006562BD" w:rsidRPr="00897E2A" w:rsidRDefault="006562BD" w:rsidP="00475E7F">
      <w:pPr>
        <w:pStyle w:val="FootnoteText"/>
      </w:pPr>
      <w:r w:rsidRPr="00897E2A">
        <w:rPr>
          <w:rStyle w:val="FootnoteReference"/>
        </w:rPr>
        <w:footnoteRef/>
      </w:r>
      <w:r w:rsidRPr="00897E2A">
        <w:t xml:space="preserve"> Although the growth of online creative</w:t>
      </w:r>
      <w:r>
        <w:t xml:space="preserve"> enterprises may be assisted by </w:t>
      </w:r>
      <w:r>
        <w:rPr>
          <w:i/>
        </w:rPr>
        <w:t xml:space="preserve">healthy </w:t>
      </w:r>
      <w:r>
        <w:t xml:space="preserve">evolution of </w:t>
      </w:r>
      <w:r w:rsidRPr="00897E2A">
        <w:t>self-help regu</w:t>
      </w:r>
      <w:r>
        <w:t>latory mechanisms like licenses, they are possibly sub-optimal</w:t>
      </w:r>
      <w:r w:rsidRPr="00897E2A">
        <w:t xml:space="preserve">. The study explores one perspective of creative health, by demonstrating that regulatory schemas differ in their relationship to quality. </w:t>
      </w:r>
      <w:r w:rsidRPr="00657997">
        <w:rPr>
          <w:i/>
        </w:rPr>
        <w:t>See</w:t>
      </w:r>
      <w:r w:rsidRPr="00897E2A">
        <w:t xml:space="preserve"> </w:t>
      </w:r>
      <w:r>
        <w:t>Greenstein</w:t>
      </w:r>
      <w:r w:rsidRPr="00897E2A">
        <w:t xml:space="preserve">, Glimmers and Signs of Innovative Health in </w:t>
      </w:r>
      <w:r>
        <w:t xml:space="preserve">the Commercial Internet, </w:t>
      </w:r>
      <w:r w:rsidRPr="00897E2A">
        <w:t>Journal of Telecommunications and High Technology Law,</w:t>
      </w:r>
      <w:r>
        <w:t xml:space="preserve"> Vol. 8, No. 1, pp. 25-78, 2010.</w:t>
      </w:r>
      <w:r w:rsidRPr="00897E2A">
        <w:t xml:space="preserve"> Different </w:t>
      </w:r>
      <w:r>
        <w:t>analogies</w:t>
      </w:r>
      <w:r w:rsidRPr="00897E2A">
        <w:t xml:space="preserve"> can be offered to the same four health signals with respect to innovation in online creat</w:t>
      </w:r>
      <w:r>
        <w:t xml:space="preserve">ivity and its regulation. Like </w:t>
      </w:r>
      <w:r w:rsidRPr="00897E2A">
        <w:t xml:space="preserve">digital innovation, the speedy evolution of digital </w:t>
      </w:r>
      <w:r>
        <w:t>creativity</w:t>
      </w:r>
      <w:r w:rsidRPr="00897E2A">
        <w:t xml:space="preserve"> </w:t>
      </w:r>
      <w:r>
        <w:t xml:space="preserve">poses </w:t>
      </w:r>
      <w:r w:rsidRPr="00897E2A">
        <w:t xml:space="preserve">a “challenge for any regulatory framework: it makes it quite difficult to assess the general factors encouraging behavior that leads to innovative outcomes”. </w:t>
      </w:r>
    </w:p>
  </w:footnote>
  <w:footnote w:id="6">
    <w:p w14:paraId="6102C7BD" w14:textId="4430CB01" w:rsidR="006562BD" w:rsidRPr="00897E2A" w:rsidRDefault="006562BD" w:rsidP="00475E7F">
      <w:pPr>
        <w:pStyle w:val="FootnoteText"/>
      </w:pPr>
      <w:r w:rsidRPr="00897E2A">
        <w:rPr>
          <w:rStyle w:val="FootnoteReference"/>
        </w:rPr>
        <w:footnoteRef/>
      </w:r>
      <w:r w:rsidRPr="00897E2A">
        <w:t xml:space="preserve"> Licenses</w:t>
      </w:r>
      <w:r>
        <w:t xml:space="preserve">, like other intellectual property tools, are </w:t>
      </w:r>
      <w:r w:rsidRPr="00897E2A">
        <w:t>auxiliary to</w:t>
      </w:r>
      <w:r>
        <w:t>ols for the particular activity</w:t>
      </w:r>
      <w:r w:rsidRPr="00897E2A">
        <w:t xml:space="preserve">. </w:t>
      </w:r>
      <w:r w:rsidRPr="00E2286C">
        <w:rPr>
          <w:i/>
        </w:rPr>
        <w:t>See, e.g.</w:t>
      </w:r>
      <w:r>
        <w:t xml:space="preserve"> Scotchmer</w:t>
      </w:r>
      <w:r w:rsidRPr="00897E2A">
        <w:t>, Openness, Open Source, and the Veil o</w:t>
      </w:r>
      <w:r>
        <w:t>f Ignorance,</w:t>
      </w:r>
      <w:r w:rsidRPr="00897E2A">
        <w:t xml:space="preserve"> American Economic Asso</w:t>
      </w:r>
      <w:r>
        <w:t>ciation, 2010 and Maurer Scotchmer</w:t>
      </w:r>
      <w:r w:rsidRPr="00897E2A">
        <w:t>, Open Source Software: The New Intellectua</w:t>
      </w:r>
      <w:r>
        <w:t>l Property Paradigm,</w:t>
      </w:r>
      <w:r w:rsidRPr="00897E2A">
        <w:t xml:space="preserve"> NBER Working Paper Series w12148, 2006, </w:t>
      </w:r>
      <w:r>
        <w:t>Rabin, Lakhani</w:t>
      </w:r>
      <w:r w:rsidRPr="00897E2A">
        <w:t xml:space="preserve">, </w:t>
      </w:r>
      <w:r>
        <w:t xml:space="preserve">and Von Hippel, </w:t>
      </w:r>
      <w:r w:rsidRPr="00897E2A">
        <w:t>How Open Source Software Works: ‘</w:t>
      </w:r>
      <w:r>
        <w:t>Free’ User-to- User Assistance,</w:t>
      </w:r>
      <w:r w:rsidRPr="00897E2A">
        <w:t xml:space="preserve"> </w:t>
      </w:r>
      <w:r>
        <w:t xml:space="preserve">Research policy, 32(6): 923–43, 2003, and Ren, </w:t>
      </w:r>
      <w:r w:rsidRPr="00897E2A">
        <w:t xml:space="preserve">Kraut, </w:t>
      </w:r>
      <w:r>
        <w:t>&amp;</w:t>
      </w:r>
      <w:r w:rsidRPr="00897E2A">
        <w:t xml:space="preserve"> </w:t>
      </w:r>
      <w:r>
        <w:t xml:space="preserve">Kiesler, </w:t>
      </w:r>
      <w:r w:rsidRPr="00897E2A">
        <w:t>Applying Common Identity and Bond Theory to the</w:t>
      </w:r>
      <w:r>
        <w:t xml:space="preserve"> Design of Online Communities, </w:t>
      </w:r>
      <w:r w:rsidRPr="00897E2A">
        <w:t>Organiza</w:t>
      </w:r>
      <w:r>
        <w:t xml:space="preserve">tional Studies, 28 (3): 377–408 (2007). </w:t>
      </w:r>
      <w:r w:rsidRPr="009054CA">
        <w:rPr>
          <w:i/>
        </w:rPr>
        <w:t>In</w:t>
      </w:r>
      <w:r>
        <w:t xml:space="preserve"> legal scholarship</w:t>
      </w:r>
      <w:r w:rsidRPr="00897E2A">
        <w:t xml:space="preserve">, </w:t>
      </w:r>
      <w:r>
        <w:rPr>
          <w:i/>
        </w:rPr>
        <w:t xml:space="preserve">see </w:t>
      </w:r>
      <w:r w:rsidRPr="00897E2A">
        <w:rPr>
          <w:rFonts w:cs="Times Ten"/>
          <w:color w:val="000000"/>
        </w:rPr>
        <w:t>Smith, Intellectual Property as Property: Delineating Entitlements in Inform</w:t>
      </w:r>
      <w:r>
        <w:rPr>
          <w:rFonts w:cs="Times Ten"/>
          <w:color w:val="000000"/>
        </w:rPr>
        <w:t>ation, 116 Yale L.J. 1742, 2007</w:t>
      </w:r>
      <w:r w:rsidRPr="00897E2A">
        <w:rPr>
          <w:rFonts w:cs="Times Ten"/>
          <w:color w:val="000000"/>
        </w:rPr>
        <w:t xml:space="preserve"> and generally, Merrill &amp; Smith, The Property/Contract Interfac</w:t>
      </w:r>
      <w:r>
        <w:rPr>
          <w:rFonts w:cs="Times Ten"/>
          <w:color w:val="000000"/>
        </w:rPr>
        <w:t>e, 101 Colum. L. Rev. 773, 2001.</w:t>
      </w:r>
    </w:p>
  </w:footnote>
  <w:footnote w:id="7">
    <w:p w14:paraId="7E997DDA" w14:textId="75241766" w:rsidR="006562BD" w:rsidRPr="00D35902" w:rsidRDefault="006562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Times New Roman"/>
        </w:rPr>
        <w:t>Horn,</w:t>
      </w:r>
      <w:r w:rsidRPr="00D35902">
        <w:rPr>
          <w:rFonts w:eastAsia="Times New Roman"/>
        </w:rPr>
        <w:t xml:space="preserve"> </w:t>
      </w:r>
      <w:r w:rsidRPr="00D35902">
        <w:rPr>
          <w:rFonts w:eastAsia="Times New Roman"/>
          <w:iCs/>
        </w:rPr>
        <w:t>Statistical Indicators: For the Economic and Social Sciences</w:t>
      </w:r>
      <w:r>
        <w:rPr>
          <w:rFonts w:eastAsia="Times New Roman"/>
        </w:rPr>
        <w:t xml:space="preserve">, </w:t>
      </w:r>
      <w:r w:rsidRPr="00D35902">
        <w:rPr>
          <w:rFonts w:eastAsia="Times New Roman"/>
        </w:rPr>
        <w:t>Ca</w:t>
      </w:r>
      <w:r>
        <w:rPr>
          <w:rFonts w:eastAsia="Times New Roman"/>
        </w:rPr>
        <w:t>mbridge University Press, 1993.</w:t>
      </w:r>
    </w:p>
  </w:footnote>
  <w:footnote w:id="8">
    <w:p w14:paraId="51CDD27C" w14:textId="7D863FAD" w:rsidR="006562BD" w:rsidRPr="002630A5" w:rsidRDefault="006562BD" w:rsidP="00475E7F">
      <w:pPr>
        <w:pStyle w:val="FootnoteText"/>
      </w:pPr>
      <w:r>
        <w:rPr>
          <w:rStyle w:val="FootnoteReference"/>
        </w:rPr>
        <w:footnoteRef/>
      </w:r>
      <w:r>
        <w:t xml:space="preserve"> For the aesthetic quality of images, the offer is to utilize a software tools that offers computerized evaluation that approximates expert critique, </w:t>
      </w:r>
      <w:r>
        <w:rPr>
          <w:i/>
        </w:rPr>
        <w:t>see</w:t>
      </w:r>
      <w:r>
        <w:t xml:space="preserve"> </w:t>
      </w:r>
      <w:hyperlink r:id="rId1" w:history="1">
        <w:r w:rsidRPr="00235678">
          <w:rPr>
            <w:rStyle w:val="Hyperlink"/>
          </w:rPr>
          <w:t>http://acquine.alipr.com/</w:t>
        </w:r>
      </w:hyperlink>
      <w:r>
        <w:rPr>
          <w:lang w:bidi="he-IL"/>
        </w:rPr>
        <w:t xml:space="preserve">. </w:t>
      </w:r>
    </w:p>
  </w:footnote>
  <w:footnote w:id="9">
    <w:p w14:paraId="56F23C19" w14:textId="1AAFE014" w:rsidR="006562BD" w:rsidRPr="00D35902" w:rsidRDefault="006562BD" w:rsidP="00475E7F">
      <w:pPr>
        <w:pStyle w:val="FootnoteText"/>
      </w:pPr>
      <w:r>
        <w:rPr>
          <w:rStyle w:val="FootnoteReference"/>
        </w:rPr>
        <w:footnoteRef/>
      </w:r>
      <w:r>
        <w:t xml:space="preserve"> Understood in time and in market value (</w:t>
      </w:r>
      <w:r>
        <w:rPr>
          <w:rFonts w:ascii="Times New Roman" w:hAnsi="Times New Roman" w:cs="Times New Roman"/>
          <w:i/>
          <w:lang w:bidi="he-IL"/>
        </w:rPr>
        <w:t xml:space="preserve">id. </w:t>
      </w:r>
      <w:r>
        <w:rPr>
          <w:rFonts w:ascii="Times New Roman" w:hAnsi="Times New Roman" w:cs="Times New Roman"/>
          <w:lang w:bidi="he-IL"/>
        </w:rPr>
        <w:t xml:space="preserve">2). For the origins of the concept </w:t>
      </w:r>
      <w:r>
        <w:rPr>
          <w:rFonts w:ascii="Times New Roman" w:hAnsi="Times New Roman" w:cs="Times New Roman"/>
          <w:i/>
          <w:lang w:bidi="he-IL"/>
        </w:rPr>
        <w:t xml:space="preserve">see </w:t>
      </w:r>
      <w:r>
        <w:t>Barbara Van Schewick, Internet A</w:t>
      </w:r>
      <w:r w:rsidRPr="00525D16">
        <w:t>rchitecture a</w:t>
      </w:r>
      <w:r>
        <w:t>nd Innovation. MIT Press, 2010.</w:t>
      </w:r>
    </w:p>
  </w:footnote>
  <w:footnote w:id="10">
    <w:p w14:paraId="3AA788A5" w14:textId="244E7DF5" w:rsidR="006562BD" w:rsidRDefault="006562BD" w:rsidP="00475E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378BA">
        <w:t xml:space="preserve">Zhao, Grasmuck, &amp; Martin, Identity construction on Facebook: Digital empowerment in anchored relationships, </w:t>
      </w:r>
      <w:r w:rsidRPr="00A378BA">
        <w:rPr>
          <w:iCs/>
        </w:rPr>
        <w:t>Computers in Human Behavior</w:t>
      </w:r>
      <w:r w:rsidRPr="00A378BA">
        <w:t xml:space="preserve"> 24.5 1816-1836, 2008, </w:t>
      </w:r>
      <w:r w:rsidRPr="00A378BA">
        <w:rPr>
          <w:rFonts w:eastAsia="Times New Roman" w:cs="Times New Roman"/>
        </w:rPr>
        <w:t xml:space="preserve">Toral et al., An empirical study of the driving forces behind online communities, </w:t>
      </w:r>
      <w:r w:rsidRPr="00A378BA">
        <w:rPr>
          <w:rFonts w:eastAsia="Times New Roman" w:cs="Times New Roman"/>
          <w:iCs/>
        </w:rPr>
        <w:t>Internet Research</w:t>
      </w:r>
      <w:r w:rsidRPr="00A378BA">
        <w:rPr>
          <w:rFonts w:eastAsia="Times New Roman" w:cs="Times New Roman"/>
        </w:rPr>
        <w:t xml:space="preserve"> 19.4, 378-392, 2009</w:t>
      </w:r>
      <w:r w:rsidRPr="00A378BA">
        <w:rPr>
          <w:rStyle w:val="HTMLCite"/>
          <w:rFonts w:eastAsia="Times New Roman" w:cs="Times New Roman"/>
        </w:rPr>
        <w:t xml:space="preserve">, </w:t>
      </w:r>
      <w:r w:rsidRPr="00A378BA">
        <w:rPr>
          <w:rStyle w:val="author"/>
          <w:rFonts w:eastAsia="Times New Roman" w:cs="Times New Roman"/>
          <w:iCs/>
        </w:rPr>
        <w:t>Halpern</w:t>
      </w:r>
      <w:r w:rsidRPr="00A378BA">
        <w:rPr>
          <w:rStyle w:val="HTMLCite"/>
          <w:rFonts w:eastAsia="Times New Roman" w:cs="Times New Roman"/>
        </w:rPr>
        <w:t xml:space="preserve"> &amp; </w:t>
      </w:r>
      <w:r w:rsidRPr="00A378BA">
        <w:rPr>
          <w:rStyle w:val="author"/>
          <w:rFonts w:eastAsia="Times New Roman" w:cs="Times New Roman"/>
          <w:iCs/>
        </w:rPr>
        <w:t>Gibbs</w:t>
      </w:r>
      <w:r w:rsidRPr="00A378BA">
        <w:rPr>
          <w:rStyle w:val="HTMLCite"/>
          <w:rFonts w:eastAsia="Times New Roman" w:cs="Times New Roman"/>
        </w:rPr>
        <w:t xml:space="preserve">, </w:t>
      </w:r>
      <w:r w:rsidRPr="00A378BA">
        <w:rPr>
          <w:rStyle w:val="articletitle"/>
          <w:rFonts w:eastAsia="Times New Roman" w:cs="Times New Roman"/>
          <w:iCs/>
        </w:rPr>
        <w:t>Social media as a catalyst for online deliberation? Exploring the affordances of Facebook and YouTube for political expression</w:t>
      </w:r>
      <w:r w:rsidRPr="00A378BA">
        <w:rPr>
          <w:rStyle w:val="HTMLCite"/>
          <w:rFonts w:eastAsia="Times New Roman" w:cs="Times New Roman"/>
        </w:rPr>
        <w:t xml:space="preserve">, </w:t>
      </w:r>
      <w:r w:rsidRPr="00A378BA">
        <w:rPr>
          <w:rStyle w:val="journaltitle"/>
          <w:rFonts w:eastAsia="Times New Roman" w:cs="Times New Roman"/>
          <w:iCs/>
        </w:rPr>
        <w:t>Computers in Human Behavior</w:t>
      </w:r>
      <w:r w:rsidRPr="00A378BA">
        <w:rPr>
          <w:rStyle w:val="HTMLCite"/>
          <w:rFonts w:eastAsia="Times New Roman" w:cs="Times New Roman"/>
        </w:rPr>
        <w:t xml:space="preserve">, </w:t>
      </w:r>
      <w:r w:rsidRPr="00A378BA">
        <w:rPr>
          <w:rStyle w:val="pubyear"/>
          <w:rFonts w:eastAsia="Times New Roman" w:cs="Times New Roman"/>
          <w:iCs/>
        </w:rPr>
        <w:t>2012</w:t>
      </w:r>
      <w:r w:rsidRPr="00A378BA">
        <w:rPr>
          <w:rStyle w:val="HTMLCite"/>
          <w:rFonts w:eastAsia="Times New Roman" w:cs="Times New Roman"/>
        </w:rPr>
        <w:t xml:space="preserve">, </w:t>
      </w:r>
      <w:r w:rsidRPr="00A378BA">
        <w:rPr>
          <w:rStyle w:val="author"/>
          <w:rFonts w:eastAsia="Times New Roman" w:cs="Times New Roman"/>
          <w:iCs/>
        </w:rPr>
        <w:t>Courtois</w:t>
      </w:r>
      <w:r w:rsidRPr="00A378BA">
        <w:rPr>
          <w:rStyle w:val="HTMLCite"/>
          <w:rFonts w:eastAsia="Times New Roman" w:cs="Times New Roman"/>
        </w:rPr>
        <w:t xml:space="preserve">, </w:t>
      </w:r>
      <w:r w:rsidRPr="00A378BA">
        <w:rPr>
          <w:rStyle w:val="author"/>
          <w:rFonts w:eastAsia="Times New Roman" w:cs="Times New Roman"/>
          <w:iCs/>
        </w:rPr>
        <w:t>Mechant</w:t>
      </w:r>
      <w:r w:rsidRPr="00A378BA">
        <w:rPr>
          <w:rStyle w:val="HTMLCite"/>
          <w:rFonts w:eastAsia="Times New Roman" w:cs="Times New Roman"/>
        </w:rPr>
        <w:t xml:space="preserve"> &amp; </w:t>
      </w:r>
      <w:r w:rsidRPr="00A378BA">
        <w:rPr>
          <w:rStyle w:val="author"/>
          <w:rFonts w:eastAsia="Times New Roman" w:cs="Times New Roman"/>
          <w:iCs/>
        </w:rPr>
        <w:t>De Marez</w:t>
      </w:r>
      <w:r w:rsidRPr="00A378BA">
        <w:rPr>
          <w:rStyle w:val="HTMLCite"/>
          <w:rFonts w:eastAsia="Times New Roman" w:cs="Times New Roman"/>
        </w:rPr>
        <w:t xml:space="preserve">, </w:t>
      </w:r>
      <w:r w:rsidRPr="00A378BA">
        <w:rPr>
          <w:rStyle w:val="articletitle"/>
          <w:rFonts w:eastAsia="Times New Roman" w:cs="Times New Roman"/>
          <w:iCs/>
        </w:rPr>
        <w:t>Communicating Creativity on YouTube: What and for Whom?</w:t>
      </w:r>
      <w:r w:rsidRPr="00A378BA">
        <w:rPr>
          <w:rStyle w:val="HTMLCite"/>
          <w:rFonts w:eastAsia="Times New Roman" w:cs="Times New Roman"/>
        </w:rPr>
        <w:t xml:space="preserve">, </w:t>
      </w:r>
      <w:r w:rsidRPr="00A378BA">
        <w:rPr>
          <w:rStyle w:val="journaltitle"/>
          <w:rFonts w:eastAsia="Times New Roman" w:cs="Times New Roman"/>
          <w:iCs/>
        </w:rPr>
        <w:t>Cyberpsychology, Behavior, and Social Networking</w:t>
      </w:r>
      <w:r w:rsidRPr="00A378BA">
        <w:rPr>
          <w:rStyle w:val="HTMLCite"/>
          <w:rFonts w:eastAsia="Times New Roman" w:cs="Times New Roman"/>
        </w:rPr>
        <w:t xml:space="preserve">, </w:t>
      </w:r>
      <w:r w:rsidRPr="00A378BA">
        <w:rPr>
          <w:rStyle w:val="vol"/>
          <w:rFonts w:eastAsia="Times New Roman" w:cs="Times New Roman"/>
          <w:iCs/>
        </w:rPr>
        <w:t>15</w:t>
      </w:r>
      <w:r w:rsidRPr="00A378BA">
        <w:rPr>
          <w:rStyle w:val="HTMLCite"/>
          <w:rFonts w:eastAsia="Times New Roman" w:cs="Times New Roman"/>
        </w:rPr>
        <w:t xml:space="preserve">, </w:t>
      </w:r>
      <w:r w:rsidRPr="00A378BA">
        <w:rPr>
          <w:rStyle w:val="issue"/>
          <w:rFonts w:eastAsia="Times New Roman" w:cs="Times New Roman"/>
          <w:iCs/>
        </w:rPr>
        <w:t>3</w:t>
      </w:r>
      <w:r w:rsidRPr="00A378BA">
        <w:rPr>
          <w:rStyle w:val="HTMLCite"/>
          <w:rFonts w:eastAsia="Times New Roman" w:cs="Times New Roman"/>
        </w:rPr>
        <w:t xml:space="preserve">, </w:t>
      </w:r>
      <w:r w:rsidRPr="00A378BA">
        <w:rPr>
          <w:rStyle w:val="pagefirst"/>
          <w:rFonts w:eastAsia="Times New Roman" w:cs="Times New Roman"/>
          <w:iCs/>
        </w:rPr>
        <w:t xml:space="preserve">129, </w:t>
      </w:r>
      <w:r w:rsidRPr="00A378BA">
        <w:rPr>
          <w:rStyle w:val="pubyear"/>
          <w:rFonts w:eastAsia="Times New Roman" w:cs="Times New Roman"/>
          <w:iCs/>
        </w:rPr>
        <w:t>2012</w:t>
      </w:r>
      <w:r w:rsidRPr="00A378BA">
        <w:rPr>
          <w:rStyle w:val="HTMLCite"/>
          <w:rFonts w:eastAsia="Times New Roman" w:cs="Times New Roman"/>
        </w:rPr>
        <w:t xml:space="preserve">, </w:t>
      </w:r>
      <w:r w:rsidRPr="00A378BA">
        <w:rPr>
          <w:rStyle w:val="author"/>
          <w:rFonts w:eastAsia="Times New Roman" w:cs="Times New Roman"/>
          <w:iCs/>
        </w:rPr>
        <w:t>Thelwall</w:t>
      </w:r>
      <w:r w:rsidRPr="00A378BA">
        <w:rPr>
          <w:rStyle w:val="HTMLCite"/>
          <w:rFonts w:eastAsia="Times New Roman" w:cs="Times New Roman"/>
        </w:rPr>
        <w:t xml:space="preserve">, </w:t>
      </w:r>
      <w:r w:rsidRPr="00A378BA">
        <w:rPr>
          <w:rStyle w:val="author"/>
          <w:rFonts w:eastAsia="Times New Roman" w:cs="Times New Roman"/>
          <w:iCs/>
        </w:rPr>
        <w:t>Sud</w:t>
      </w:r>
      <w:r w:rsidRPr="00A378BA">
        <w:rPr>
          <w:rStyle w:val="HTMLCite"/>
          <w:rFonts w:eastAsia="Times New Roman" w:cs="Times New Roman"/>
        </w:rPr>
        <w:t xml:space="preserve">, </w:t>
      </w:r>
      <w:r w:rsidRPr="00A378BA">
        <w:rPr>
          <w:rStyle w:val="author"/>
          <w:rFonts w:eastAsia="Times New Roman" w:cs="Times New Roman"/>
          <w:iCs/>
        </w:rPr>
        <w:t>&amp; Vis</w:t>
      </w:r>
      <w:r w:rsidRPr="00A378BA">
        <w:rPr>
          <w:rStyle w:val="HTMLCite"/>
          <w:rFonts w:eastAsia="Times New Roman" w:cs="Times New Roman"/>
        </w:rPr>
        <w:t xml:space="preserve">, </w:t>
      </w:r>
      <w:r w:rsidRPr="00A378BA">
        <w:rPr>
          <w:rStyle w:val="articletitle"/>
          <w:rFonts w:eastAsia="Times New Roman" w:cs="Times New Roman"/>
          <w:iCs/>
        </w:rPr>
        <w:t>Commenting on YouTube videos: From guatemalan rock to El Big Bang</w:t>
      </w:r>
      <w:r w:rsidRPr="00A378BA">
        <w:rPr>
          <w:rStyle w:val="HTMLCite"/>
          <w:rFonts w:eastAsia="Times New Roman" w:cs="Times New Roman"/>
        </w:rPr>
        <w:t xml:space="preserve">, </w:t>
      </w:r>
      <w:r w:rsidRPr="00A378BA">
        <w:rPr>
          <w:rStyle w:val="journaltitle"/>
          <w:rFonts w:eastAsia="Times New Roman" w:cs="Times New Roman"/>
          <w:iCs/>
        </w:rPr>
        <w:t xml:space="preserve">Journal of the American Society for Information Science and Technology </w:t>
      </w:r>
      <w:r w:rsidRPr="00A378BA">
        <w:rPr>
          <w:rStyle w:val="vol"/>
          <w:rFonts w:eastAsia="Times New Roman" w:cs="Times New Roman"/>
          <w:iCs/>
        </w:rPr>
        <w:t>63</w:t>
      </w:r>
      <w:r w:rsidRPr="00A378BA">
        <w:rPr>
          <w:rStyle w:val="HTMLCite"/>
          <w:rFonts w:eastAsia="Times New Roman" w:cs="Times New Roman"/>
        </w:rPr>
        <w:t xml:space="preserve">, </w:t>
      </w:r>
      <w:r w:rsidRPr="00A378BA">
        <w:rPr>
          <w:rStyle w:val="issue"/>
          <w:rFonts w:eastAsia="Times New Roman" w:cs="Times New Roman"/>
          <w:iCs/>
        </w:rPr>
        <w:t>3</w:t>
      </w:r>
      <w:r w:rsidRPr="00A378BA">
        <w:rPr>
          <w:rStyle w:val="HTMLCite"/>
          <w:rFonts w:eastAsia="Times New Roman" w:cs="Times New Roman"/>
        </w:rPr>
        <w:t xml:space="preserve">, </w:t>
      </w:r>
      <w:r w:rsidRPr="00A378BA">
        <w:rPr>
          <w:rStyle w:val="pubyear"/>
          <w:rFonts w:eastAsia="Times New Roman" w:cs="Times New Roman"/>
          <w:iCs/>
        </w:rPr>
        <w:t>2012</w:t>
      </w:r>
      <w:r w:rsidRPr="00A378BA">
        <w:rPr>
          <w:rStyle w:val="issue"/>
          <w:rFonts w:eastAsia="Times New Roman" w:cs="Times New Roman"/>
          <w:iCs/>
        </w:rPr>
        <w:t>.</w:t>
      </w:r>
    </w:p>
  </w:footnote>
  <w:footnote w:id="11">
    <w:p w14:paraId="3B1230FB" w14:textId="5902FAE6" w:rsidR="006562BD" w:rsidRDefault="006562BD">
      <w:pPr>
        <w:pStyle w:val="FootnoteText"/>
      </w:pPr>
      <w:r>
        <w:rPr>
          <w:rStyle w:val="FootnoteReference"/>
        </w:rPr>
        <w:footnoteRef/>
      </w:r>
      <w:r>
        <w:t xml:space="preserve"> Fershtman &amp; Gandal</w:t>
      </w:r>
      <w:r w:rsidRPr="008A00BF">
        <w:t>, Microstructure of Collaboration: The Network of Open S</w:t>
      </w:r>
      <w:r>
        <w:t xml:space="preserve">ource Software, </w:t>
      </w:r>
      <w:r w:rsidRPr="008A00BF">
        <w:t>NET Ins</w:t>
      </w:r>
      <w:r>
        <w:t>titute Working Paper No. 08-01,</w:t>
      </w:r>
      <w:r w:rsidRPr="00511B1A">
        <w:t xml:space="preserve"> </w:t>
      </w:r>
      <w:r>
        <w:t>2008.</w:t>
      </w:r>
    </w:p>
  </w:footnote>
  <w:footnote w:id="12">
    <w:p w14:paraId="586D93D6" w14:textId="6566B89E" w:rsidR="006562BD" w:rsidRDefault="006562BD" w:rsidP="00475E7F">
      <w:pPr>
        <w:pStyle w:val="FootnoteText"/>
      </w:pPr>
      <w:r>
        <w:rPr>
          <w:rStyle w:val="FootnoteReference"/>
        </w:rPr>
        <w:footnoteRef/>
      </w:r>
      <w:r>
        <w:t xml:space="preserve"> These data sources enable bridging inherent data gaps in the website’s data, including purposefully hidden</w:t>
      </w:r>
      <w:r w:rsidRPr="002B22BE">
        <w:t xml:space="preserve"> </w:t>
      </w:r>
      <w:r>
        <w:t xml:space="preserve">data, and data about the actors’ perception, awareness and reliance motivations on regulatory frameworks. </w:t>
      </w:r>
    </w:p>
  </w:footnote>
  <w:footnote w:id="13">
    <w:p w14:paraId="05CC8379" w14:textId="6C49898B" w:rsidR="006562BD" w:rsidRDefault="006562BD">
      <w:pPr>
        <w:pStyle w:val="FootnoteText"/>
      </w:pPr>
      <w:r>
        <w:rPr>
          <w:rStyle w:val="FootnoteReference"/>
        </w:rPr>
        <w:footnoteRef/>
      </w:r>
      <w:r>
        <w:t xml:space="preserve"> I suggest that the different licenses can also be interpreted as candidates in a legal standard competition.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01308" w14:textId="77777777" w:rsidR="002D099A" w:rsidRPr="00444C3C" w:rsidRDefault="002D099A" w:rsidP="002D099A">
    <w:pPr>
      <w:pStyle w:val="Title"/>
      <w:spacing w:after="0"/>
      <w:jc w:val="center"/>
      <w:rPr>
        <w:sz w:val="22"/>
        <w:szCs w:val="30"/>
      </w:rPr>
    </w:pPr>
    <w:r w:rsidRPr="00444C3C">
      <w:rPr>
        <w:sz w:val="22"/>
        <w:szCs w:val="30"/>
      </w:rPr>
      <w:t>Regulating Digital Creativity, A Comparative Evaluation of Online License Frameworks</w:t>
    </w:r>
  </w:p>
  <w:p w14:paraId="5ADAB5C3" w14:textId="4CFF90A1" w:rsidR="002D099A" w:rsidRPr="002D099A" w:rsidRDefault="002D099A" w:rsidP="002D099A">
    <w:pPr>
      <w:pStyle w:val="Subtitle"/>
      <w:jc w:val="center"/>
      <w:rPr>
        <w:i w:val="0"/>
        <w:sz w:val="22"/>
      </w:rPr>
    </w:pPr>
    <w:r w:rsidRPr="00014419">
      <w:rPr>
        <w:i w:val="0"/>
        <w:sz w:val="22"/>
      </w:rPr>
      <w:t>Tal Niv, 12/14/2012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C1"/>
    <w:rsid w:val="00011199"/>
    <w:rsid w:val="00014419"/>
    <w:rsid w:val="00014646"/>
    <w:rsid w:val="0002165C"/>
    <w:rsid w:val="0002601E"/>
    <w:rsid w:val="00026752"/>
    <w:rsid w:val="0003134E"/>
    <w:rsid w:val="00061DED"/>
    <w:rsid w:val="00077756"/>
    <w:rsid w:val="000B0646"/>
    <w:rsid w:val="000B27EE"/>
    <w:rsid w:val="000B4D74"/>
    <w:rsid w:val="000D4BB5"/>
    <w:rsid w:val="000E311A"/>
    <w:rsid w:val="000F36C4"/>
    <w:rsid w:val="0011424E"/>
    <w:rsid w:val="00114FB4"/>
    <w:rsid w:val="00131403"/>
    <w:rsid w:val="00133A5C"/>
    <w:rsid w:val="001461EF"/>
    <w:rsid w:val="00171040"/>
    <w:rsid w:val="0017291D"/>
    <w:rsid w:val="00176810"/>
    <w:rsid w:val="00185830"/>
    <w:rsid w:val="001A1658"/>
    <w:rsid w:val="001A368F"/>
    <w:rsid w:val="001B2C37"/>
    <w:rsid w:val="001C1C97"/>
    <w:rsid w:val="001F0FA8"/>
    <w:rsid w:val="001F7C98"/>
    <w:rsid w:val="00201D7C"/>
    <w:rsid w:val="0021130A"/>
    <w:rsid w:val="00226DAF"/>
    <w:rsid w:val="00254333"/>
    <w:rsid w:val="00262AEA"/>
    <w:rsid w:val="002630A5"/>
    <w:rsid w:val="002678D2"/>
    <w:rsid w:val="00296747"/>
    <w:rsid w:val="002A0A9C"/>
    <w:rsid w:val="002A2B45"/>
    <w:rsid w:val="002B22BE"/>
    <w:rsid w:val="002C43D2"/>
    <w:rsid w:val="002C6D79"/>
    <w:rsid w:val="002D099A"/>
    <w:rsid w:val="00333399"/>
    <w:rsid w:val="00334F89"/>
    <w:rsid w:val="00361F37"/>
    <w:rsid w:val="00363486"/>
    <w:rsid w:val="00365B5A"/>
    <w:rsid w:val="0039124C"/>
    <w:rsid w:val="00397173"/>
    <w:rsid w:val="003A77D1"/>
    <w:rsid w:val="003A77EA"/>
    <w:rsid w:val="003F5B77"/>
    <w:rsid w:val="00416211"/>
    <w:rsid w:val="00416CE5"/>
    <w:rsid w:val="0042419A"/>
    <w:rsid w:val="004339B6"/>
    <w:rsid w:val="00437751"/>
    <w:rsid w:val="00444C3C"/>
    <w:rsid w:val="00475E7F"/>
    <w:rsid w:val="00486D8A"/>
    <w:rsid w:val="004A6A2E"/>
    <w:rsid w:val="005024F8"/>
    <w:rsid w:val="00505D8E"/>
    <w:rsid w:val="00511B1A"/>
    <w:rsid w:val="00535815"/>
    <w:rsid w:val="00561BD0"/>
    <w:rsid w:val="005651A1"/>
    <w:rsid w:val="00566A03"/>
    <w:rsid w:val="00573372"/>
    <w:rsid w:val="005748A2"/>
    <w:rsid w:val="0059187C"/>
    <w:rsid w:val="00597A72"/>
    <w:rsid w:val="005A4632"/>
    <w:rsid w:val="005B6AC5"/>
    <w:rsid w:val="005B7C4A"/>
    <w:rsid w:val="005C30FE"/>
    <w:rsid w:val="005C7180"/>
    <w:rsid w:val="005D45EC"/>
    <w:rsid w:val="005E2960"/>
    <w:rsid w:val="005E4B52"/>
    <w:rsid w:val="005E4D90"/>
    <w:rsid w:val="00606ABE"/>
    <w:rsid w:val="00613904"/>
    <w:rsid w:val="0062691E"/>
    <w:rsid w:val="00641A17"/>
    <w:rsid w:val="00646014"/>
    <w:rsid w:val="006546B5"/>
    <w:rsid w:val="006562BD"/>
    <w:rsid w:val="00657997"/>
    <w:rsid w:val="00676560"/>
    <w:rsid w:val="00682BCF"/>
    <w:rsid w:val="00683246"/>
    <w:rsid w:val="006A2DD5"/>
    <w:rsid w:val="006A4D36"/>
    <w:rsid w:val="006B208C"/>
    <w:rsid w:val="006B2D73"/>
    <w:rsid w:val="006C11AA"/>
    <w:rsid w:val="006D61B6"/>
    <w:rsid w:val="00716877"/>
    <w:rsid w:val="00733B62"/>
    <w:rsid w:val="00733F28"/>
    <w:rsid w:val="00741CFF"/>
    <w:rsid w:val="007456C9"/>
    <w:rsid w:val="007626E7"/>
    <w:rsid w:val="00766D8C"/>
    <w:rsid w:val="00774311"/>
    <w:rsid w:val="00790EA8"/>
    <w:rsid w:val="00791D6A"/>
    <w:rsid w:val="0079330E"/>
    <w:rsid w:val="00797018"/>
    <w:rsid w:val="0079766B"/>
    <w:rsid w:val="007C3832"/>
    <w:rsid w:val="007E5EF4"/>
    <w:rsid w:val="007F438A"/>
    <w:rsid w:val="0081462B"/>
    <w:rsid w:val="00821461"/>
    <w:rsid w:val="00833E4E"/>
    <w:rsid w:val="0084019D"/>
    <w:rsid w:val="00852E68"/>
    <w:rsid w:val="008571D2"/>
    <w:rsid w:val="008619C3"/>
    <w:rsid w:val="0088747A"/>
    <w:rsid w:val="00887C7B"/>
    <w:rsid w:val="00897E2A"/>
    <w:rsid w:val="008A08ED"/>
    <w:rsid w:val="008B1CC9"/>
    <w:rsid w:val="008F0C2E"/>
    <w:rsid w:val="008F210A"/>
    <w:rsid w:val="009054CA"/>
    <w:rsid w:val="00915EE4"/>
    <w:rsid w:val="009272FB"/>
    <w:rsid w:val="0093122D"/>
    <w:rsid w:val="00931970"/>
    <w:rsid w:val="00933820"/>
    <w:rsid w:val="00934932"/>
    <w:rsid w:val="00947C0E"/>
    <w:rsid w:val="0095720C"/>
    <w:rsid w:val="00970F62"/>
    <w:rsid w:val="00976678"/>
    <w:rsid w:val="00981D02"/>
    <w:rsid w:val="009A32EF"/>
    <w:rsid w:val="009B05D7"/>
    <w:rsid w:val="009D7165"/>
    <w:rsid w:val="009F014B"/>
    <w:rsid w:val="009F1A4F"/>
    <w:rsid w:val="009F2EA3"/>
    <w:rsid w:val="009F56FB"/>
    <w:rsid w:val="00A1735B"/>
    <w:rsid w:val="00A207F4"/>
    <w:rsid w:val="00A3096E"/>
    <w:rsid w:val="00A378BA"/>
    <w:rsid w:val="00A5033F"/>
    <w:rsid w:val="00A567EC"/>
    <w:rsid w:val="00AA1D6F"/>
    <w:rsid w:val="00AB5BD5"/>
    <w:rsid w:val="00AD0373"/>
    <w:rsid w:val="00AD09BF"/>
    <w:rsid w:val="00AE1D8B"/>
    <w:rsid w:val="00AE47AD"/>
    <w:rsid w:val="00AE6256"/>
    <w:rsid w:val="00AF2993"/>
    <w:rsid w:val="00AF75D1"/>
    <w:rsid w:val="00B312BE"/>
    <w:rsid w:val="00B37BDA"/>
    <w:rsid w:val="00B45889"/>
    <w:rsid w:val="00B56465"/>
    <w:rsid w:val="00B62175"/>
    <w:rsid w:val="00B72F79"/>
    <w:rsid w:val="00B841D5"/>
    <w:rsid w:val="00B879A4"/>
    <w:rsid w:val="00BA0FAD"/>
    <w:rsid w:val="00BA39A2"/>
    <w:rsid w:val="00BA61D7"/>
    <w:rsid w:val="00BB2028"/>
    <w:rsid w:val="00BC0959"/>
    <w:rsid w:val="00BC46BB"/>
    <w:rsid w:val="00BD4BC1"/>
    <w:rsid w:val="00C038F3"/>
    <w:rsid w:val="00C2329E"/>
    <w:rsid w:val="00C27DD7"/>
    <w:rsid w:val="00C34905"/>
    <w:rsid w:val="00C521DF"/>
    <w:rsid w:val="00C753A0"/>
    <w:rsid w:val="00C872F8"/>
    <w:rsid w:val="00C90F77"/>
    <w:rsid w:val="00C953BF"/>
    <w:rsid w:val="00CA5C7D"/>
    <w:rsid w:val="00CB0BCF"/>
    <w:rsid w:val="00CE1C96"/>
    <w:rsid w:val="00CF02D6"/>
    <w:rsid w:val="00CF2472"/>
    <w:rsid w:val="00D02DD4"/>
    <w:rsid w:val="00D06658"/>
    <w:rsid w:val="00D1038E"/>
    <w:rsid w:val="00D2245E"/>
    <w:rsid w:val="00D24C87"/>
    <w:rsid w:val="00D31CC9"/>
    <w:rsid w:val="00D35902"/>
    <w:rsid w:val="00D41472"/>
    <w:rsid w:val="00D82F2C"/>
    <w:rsid w:val="00D849B0"/>
    <w:rsid w:val="00D85CD2"/>
    <w:rsid w:val="00D94648"/>
    <w:rsid w:val="00DA37CB"/>
    <w:rsid w:val="00DB62F1"/>
    <w:rsid w:val="00DE7768"/>
    <w:rsid w:val="00E00957"/>
    <w:rsid w:val="00E0363E"/>
    <w:rsid w:val="00E10B9C"/>
    <w:rsid w:val="00E15686"/>
    <w:rsid w:val="00E2286C"/>
    <w:rsid w:val="00E229E6"/>
    <w:rsid w:val="00E32757"/>
    <w:rsid w:val="00E34132"/>
    <w:rsid w:val="00E3590A"/>
    <w:rsid w:val="00E42685"/>
    <w:rsid w:val="00E47D8F"/>
    <w:rsid w:val="00E8432D"/>
    <w:rsid w:val="00EA03B5"/>
    <w:rsid w:val="00EB79A8"/>
    <w:rsid w:val="00EB7AA3"/>
    <w:rsid w:val="00EC465E"/>
    <w:rsid w:val="00ED26C3"/>
    <w:rsid w:val="00ED695C"/>
    <w:rsid w:val="00EF382B"/>
    <w:rsid w:val="00EF661A"/>
    <w:rsid w:val="00F00E60"/>
    <w:rsid w:val="00F15B5B"/>
    <w:rsid w:val="00F17C33"/>
    <w:rsid w:val="00F40592"/>
    <w:rsid w:val="00F530AB"/>
    <w:rsid w:val="00F56233"/>
    <w:rsid w:val="00F5790C"/>
    <w:rsid w:val="00F85C2F"/>
    <w:rsid w:val="00FB3511"/>
    <w:rsid w:val="00FD0C92"/>
    <w:rsid w:val="00FD1102"/>
    <w:rsid w:val="00FE521D"/>
    <w:rsid w:val="00FF2C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5A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C1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75E7F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5E7F"/>
    <w:rPr>
      <w:rFonts w:ascii="Cambria" w:hAnsi="Cambria"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BD4B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D4BC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BC1"/>
    <w:rPr>
      <w:i/>
      <w:iCs/>
    </w:rPr>
  </w:style>
  <w:style w:type="character" w:customStyle="1" w:styleId="citation">
    <w:name w:val="citation"/>
    <w:basedOn w:val="DefaultParagraphFont"/>
    <w:rsid w:val="00BD4BC1"/>
  </w:style>
  <w:style w:type="paragraph" w:styleId="EndnoteText">
    <w:name w:val="endnote text"/>
    <w:basedOn w:val="Normal"/>
    <w:link w:val="EndnoteTextChar"/>
    <w:uiPriority w:val="99"/>
    <w:semiHidden/>
    <w:unhideWhenUsed/>
    <w:rsid w:val="00FE521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521D"/>
  </w:style>
  <w:style w:type="character" w:styleId="EndnoteReference">
    <w:name w:val="endnote reference"/>
    <w:basedOn w:val="DefaultParagraphFont"/>
    <w:uiPriority w:val="99"/>
    <w:semiHidden/>
    <w:unhideWhenUsed/>
    <w:rsid w:val="00FE521D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201D7C"/>
    <w:rPr>
      <w:i/>
      <w:iCs/>
    </w:rPr>
  </w:style>
  <w:style w:type="character" w:customStyle="1" w:styleId="author">
    <w:name w:val="author"/>
    <w:basedOn w:val="DefaultParagraphFont"/>
    <w:rsid w:val="00201D7C"/>
  </w:style>
  <w:style w:type="character" w:customStyle="1" w:styleId="journaltitle">
    <w:name w:val="journaltitle"/>
    <w:basedOn w:val="DefaultParagraphFont"/>
    <w:rsid w:val="00201D7C"/>
  </w:style>
  <w:style w:type="character" w:customStyle="1" w:styleId="pubyear">
    <w:name w:val="pubyear"/>
    <w:basedOn w:val="DefaultParagraphFont"/>
    <w:rsid w:val="00201D7C"/>
  </w:style>
  <w:style w:type="character" w:customStyle="1" w:styleId="articletitle">
    <w:name w:val="articletitle"/>
    <w:basedOn w:val="DefaultParagraphFont"/>
    <w:rsid w:val="00201D7C"/>
  </w:style>
  <w:style w:type="character" w:customStyle="1" w:styleId="vol">
    <w:name w:val="vol"/>
    <w:basedOn w:val="DefaultParagraphFont"/>
    <w:rsid w:val="00201D7C"/>
  </w:style>
  <w:style w:type="character" w:customStyle="1" w:styleId="issue">
    <w:name w:val="issue"/>
    <w:basedOn w:val="DefaultParagraphFont"/>
    <w:rsid w:val="00201D7C"/>
  </w:style>
  <w:style w:type="character" w:customStyle="1" w:styleId="pagefirst">
    <w:name w:val="pagefirst"/>
    <w:basedOn w:val="DefaultParagraphFont"/>
    <w:rsid w:val="00201D7C"/>
  </w:style>
  <w:style w:type="character" w:customStyle="1" w:styleId="il">
    <w:name w:val="il"/>
    <w:basedOn w:val="DefaultParagraphFont"/>
    <w:rsid w:val="00014646"/>
  </w:style>
  <w:style w:type="paragraph" w:styleId="Footer">
    <w:name w:val="footer"/>
    <w:basedOn w:val="Normal"/>
    <w:link w:val="FooterChar"/>
    <w:uiPriority w:val="99"/>
    <w:unhideWhenUsed/>
    <w:rsid w:val="0001464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646"/>
  </w:style>
  <w:style w:type="character" w:styleId="PageNumber">
    <w:name w:val="page number"/>
    <w:basedOn w:val="DefaultParagraphFont"/>
    <w:uiPriority w:val="99"/>
    <w:semiHidden/>
    <w:unhideWhenUsed/>
    <w:rsid w:val="00014646"/>
  </w:style>
  <w:style w:type="paragraph" w:styleId="Header">
    <w:name w:val="header"/>
    <w:basedOn w:val="Normal"/>
    <w:link w:val="HeaderChar"/>
    <w:uiPriority w:val="99"/>
    <w:unhideWhenUsed/>
    <w:rsid w:val="00E0363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63E"/>
  </w:style>
  <w:style w:type="paragraph" w:styleId="Title">
    <w:name w:val="Title"/>
    <w:basedOn w:val="Normal"/>
    <w:next w:val="Normal"/>
    <w:link w:val="TitleChar"/>
    <w:uiPriority w:val="10"/>
    <w:qFormat/>
    <w:rsid w:val="00AE47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4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441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C1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75E7F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5E7F"/>
    <w:rPr>
      <w:rFonts w:ascii="Cambria" w:hAnsi="Cambria"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BD4B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D4BC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BC1"/>
    <w:rPr>
      <w:i/>
      <w:iCs/>
    </w:rPr>
  </w:style>
  <w:style w:type="character" w:customStyle="1" w:styleId="citation">
    <w:name w:val="citation"/>
    <w:basedOn w:val="DefaultParagraphFont"/>
    <w:rsid w:val="00BD4BC1"/>
  </w:style>
  <w:style w:type="paragraph" w:styleId="EndnoteText">
    <w:name w:val="endnote text"/>
    <w:basedOn w:val="Normal"/>
    <w:link w:val="EndnoteTextChar"/>
    <w:uiPriority w:val="99"/>
    <w:semiHidden/>
    <w:unhideWhenUsed/>
    <w:rsid w:val="00FE521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521D"/>
  </w:style>
  <w:style w:type="character" w:styleId="EndnoteReference">
    <w:name w:val="endnote reference"/>
    <w:basedOn w:val="DefaultParagraphFont"/>
    <w:uiPriority w:val="99"/>
    <w:semiHidden/>
    <w:unhideWhenUsed/>
    <w:rsid w:val="00FE521D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201D7C"/>
    <w:rPr>
      <w:i/>
      <w:iCs/>
    </w:rPr>
  </w:style>
  <w:style w:type="character" w:customStyle="1" w:styleId="author">
    <w:name w:val="author"/>
    <w:basedOn w:val="DefaultParagraphFont"/>
    <w:rsid w:val="00201D7C"/>
  </w:style>
  <w:style w:type="character" w:customStyle="1" w:styleId="journaltitle">
    <w:name w:val="journaltitle"/>
    <w:basedOn w:val="DefaultParagraphFont"/>
    <w:rsid w:val="00201D7C"/>
  </w:style>
  <w:style w:type="character" w:customStyle="1" w:styleId="pubyear">
    <w:name w:val="pubyear"/>
    <w:basedOn w:val="DefaultParagraphFont"/>
    <w:rsid w:val="00201D7C"/>
  </w:style>
  <w:style w:type="character" w:customStyle="1" w:styleId="articletitle">
    <w:name w:val="articletitle"/>
    <w:basedOn w:val="DefaultParagraphFont"/>
    <w:rsid w:val="00201D7C"/>
  </w:style>
  <w:style w:type="character" w:customStyle="1" w:styleId="vol">
    <w:name w:val="vol"/>
    <w:basedOn w:val="DefaultParagraphFont"/>
    <w:rsid w:val="00201D7C"/>
  </w:style>
  <w:style w:type="character" w:customStyle="1" w:styleId="issue">
    <w:name w:val="issue"/>
    <w:basedOn w:val="DefaultParagraphFont"/>
    <w:rsid w:val="00201D7C"/>
  </w:style>
  <w:style w:type="character" w:customStyle="1" w:styleId="pagefirst">
    <w:name w:val="pagefirst"/>
    <w:basedOn w:val="DefaultParagraphFont"/>
    <w:rsid w:val="00201D7C"/>
  </w:style>
  <w:style w:type="character" w:customStyle="1" w:styleId="il">
    <w:name w:val="il"/>
    <w:basedOn w:val="DefaultParagraphFont"/>
    <w:rsid w:val="00014646"/>
  </w:style>
  <w:style w:type="paragraph" w:styleId="Footer">
    <w:name w:val="footer"/>
    <w:basedOn w:val="Normal"/>
    <w:link w:val="FooterChar"/>
    <w:uiPriority w:val="99"/>
    <w:unhideWhenUsed/>
    <w:rsid w:val="0001464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646"/>
  </w:style>
  <w:style w:type="character" w:styleId="PageNumber">
    <w:name w:val="page number"/>
    <w:basedOn w:val="DefaultParagraphFont"/>
    <w:uiPriority w:val="99"/>
    <w:semiHidden/>
    <w:unhideWhenUsed/>
    <w:rsid w:val="00014646"/>
  </w:style>
  <w:style w:type="paragraph" w:styleId="Header">
    <w:name w:val="header"/>
    <w:basedOn w:val="Normal"/>
    <w:link w:val="HeaderChar"/>
    <w:uiPriority w:val="99"/>
    <w:unhideWhenUsed/>
    <w:rsid w:val="00E0363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63E"/>
  </w:style>
  <w:style w:type="paragraph" w:styleId="Title">
    <w:name w:val="Title"/>
    <w:basedOn w:val="Normal"/>
    <w:next w:val="Normal"/>
    <w:link w:val="TitleChar"/>
    <w:uiPriority w:val="10"/>
    <w:qFormat/>
    <w:rsid w:val="00AE47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4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441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cquine.alip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D4DB1CB-DB96-864F-AAC3-A697B79C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498</Words>
  <Characters>2839</Characters>
  <Application>Microsoft Macintosh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Niv</dc:creator>
  <cp:keywords/>
  <dc:description/>
  <cp:lastModifiedBy>Tal Niv</cp:lastModifiedBy>
  <cp:revision>186</cp:revision>
  <dcterms:created xsi:type="dcterms:W3CDTF">2012-11-26T18:18:00Z</dcterms:created>
  <dcterms:modified xsi:type="dcterms:W3CDTF">2012-12-14T19:37:00Z</dcterms:modified>
</cp:coreProperties>
</file>