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885"/>
        <w:gridCol w:w="7573"/>
      </w:tblGrid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jc w:val="center"/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  <w:t>Day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jc w:val="center"/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  <w:t>Start time</w:t>
            </w:r>
            <w:bookmarkStart w:id="0" w:name="_GoBack"/>
            <w:bookmarkEnd w:id="0"/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41" w:rsidRPr="00B6596A" w:rsidRDefault="00A26F41" w:rsidP="0030347F">
            <w:pPr>
              <w:jc w:val="center"/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</w:pPr>
            <w:r w:rsidRPr="00B6596A">
              <w:rPr>
                <w:rFonts w:ascii="Georgia" w:eastAsia="Times New Roman" w:hAnsi="Georgia" w:cs="Tahoma"/>
                <w:b/>
                <w:bCs/>
                <w:color w:val="605C7F"/>
                <w:sz w:val="20"/>
                <w:szCs w:val="20"/>
              </w:rPr>
              <w:t>Paper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Ozge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Akinci and Albert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Queralto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Olive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Exchange Rate Dynamics and Monetary Spillovers with Imperfect Financial Markets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Marek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Kapička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Finn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Kydland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and Carlos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Zarazaga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 xml:space="preserve">Exploring </w:t>
            </w:r>
            <w:proofErr w:type="gramStart"/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 xml:space="preserve"> Role of Limited Commitment Constraints in Argentina’s "Missing Capital"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Vito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Cormun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and Pierre De Leo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Shocks and Exchange Rate in Small Open Economies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Konstantin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Egorov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and Dmitry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Mukhin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Optimal Monetary Policy under Dollar Pricing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Damien Puy and Eric Monnet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One Ring to Rule Them All? New Evidence on World Cycles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Ricardo M. Reyes-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Heroles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Sharon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Traiberman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and Eva Van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Leemput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Emerging Markets and the New Geography of Trade: The Effects of Rising Trade Barriers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Daniel A. Dias, Yi Huang, Hélène Rey, and Miguel Sarmiento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Monetary Policy Transmission with and without Capital Controls: Micro-Evidence from Colombia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Antonio Coppola, Matteo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Maggiori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Brent Neiman, and Jesse Schreger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Redrawing the Map of Global Capital Flows: The Role of Cross-Border Financing and Tax Havens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Franz Hamann, Enrique G. Mendoza, and Paulina Restrepo-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Echavarria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Resource Curse or Blessing? Sovereign Risk in Resource-Rich Emerging Economies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Saki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Bigio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Javier Bianchi, and Charles Engel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Bank, Liquidity and Exchange Rates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Lee E. Ohanian, Paulina Restrepo-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Echavarria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Diana Van Patten, and Mark L.J. Wright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Bretton Woods and the Reconstruction of Europe</w:t>
            </w:r>
          </w:p>
        </w:tc>
      </w:tr>
      <w:tr w:rsidR="00A26F41" w:rsidRPr="00B6596A" w:rsidTr="00A26F41">
        <w:trPr>
          <w:tblCellSpacing w:w="15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41" w:rsidRPr="00B6596A" w:rsidRDefault="00A26F41" w:rsidP="0030347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Suman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Basu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Emine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Boz, Gita Gopinath, Francisco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Roch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Filiz</w:t>
            </w:r>
            <w:proofErr w:type="spellEnd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B659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Unsal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B6596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Integrated Monetary and Financial Policies for Small Open Economies</w:t>
            </w:r>
          </w:p>
        </w:tc>
      </w:tr>
    </w:tbl>
    <w:p w:rsidR="00B62FF1" w:rsidRDefault="00A26F41"/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41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26F41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46DD"/>
  <w15:chartTrackingRefBased/>
  <w15:docId w15:val="{BAED8146-C7A1-45AD-AE48-683035A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2020-02-05T15:21:00Z</dcterms:created>
  <dcterms:modified xsi:type="dcterms:W3CDTF">2020-02-05T15:28:00Z</dcterms:modified>
</cp:coreProperties>
</file>